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D90F" w14:textId="77777777" w:rsidR="00806109" w:rsidRDefault="005A516E" w:rsidP="00806109">
      <w:pPr>
        <w:pStyle w:val="BodyText"/>
        <w:rPr>
          <w:b/>
          <w:bCs/>
          <w:sz w:val="30"/>
          <w:szCs w:val="30"/>
        </w:rPr>
      </w:pPr>
      <w:r>
        <w:rPr>
          <w:noProof/>
          <w:lang w:eastAsia="en-GB"/>
        </w:rPr>
        <w:drawing>
          <wp:anchor distT="0" distB="0" distL="114300" distR="114300" simplePos="0" relativeHeight="251659264" behindDoc="1" locked="0" layoutInCell="1" allowOverlap="1" wp14:anchorId="69DF699D" wp14:editId="7935D2D0">
            <wp:simplePos x="0" y="0"/>
            <wp:positionH relativeFrom="column">
              <wp:posOffset>-891540</wp:posOffset>
            </wp:positionH>
            <wp:positionV relativeFrom="paragraph">
              <wp:posOffset>-670445</wp:posOffset>
            </wp:positionV>
            <wp:extent cx="7550025" cy="170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erver HD/SC Work/3DX-RAY/3DX3727 Stationery/Elements/3DX-RAY Header.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50025" cy="170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FC0E1" w14:textId="77777777" w:rsidR="00806109" w:rsidRDefault="00806109" w:rsidP="00806109">
      <w:pPr>
        <w:pStyle w:val="BodyText"/>
        <w:rPr>
          <w:b/>
          <w:bCs/>
          <w:sz w:val="30"/>
          <w:szCs w:val="30"/>
        </w:rPr>
      </w:pPr>
    </w:p>
    <w:p w14:paraId="6B376CEC" w14:textId="77777777" w:rsidR="00806109" w:rsidRDefault="00806109" w:rsidP="005A516E">
      <w:pPr>
        <w:pStyle w:val="BodyText"/>
        <w:jc w:val="right"/>
        <w:rPr>
          <w:b/>
          <w:bCs/>
          <w:sz w:val="30"/>
          <w:szCs w:val="30"/>
        </w:rPr>
      </w:pPr>
    </w:p>
    <w:p w14:paraId="485A9D3C" w14:textId="77777777" w:rsidR="00806109" w:rsidRDefault="00806109" w:rsidP="00806109">
      <w:pPr>
        <w:pStyle w:val="BodyText"/>
        <w:rPr>
          <w:b/>
          <w:bCs/>
          <w:sz w:val="30"/>
          <w:szCs w:val="30"/>
        </w:rPr>
      </w:pPr>
    </w:p>
    <w:p w14:paraId="574ED83E" w14:textId="77777777" w:rsidR="00806109" w:rsidRDefault="00806109" w:rsidP="00806109">
      <w:pPr>
        <w:pStyle w:val="BodyText"/>
        <w:rPr>
          <w:b/>
          <w:bCs/>
          <w:sz w:val="30"/>
          <w:szCs w:val="30"/>
        </w:rPr>
      </w:pPr>
    </w:p>
    <w:p w14:paraId="06CAAD60" w14:textId="77777777" w:rsidR="00806109" w:rsidRDefault="00806109" w:rsidP="00806109">
      <w:pPr>
        <w:pStyle w:val="BodyText"/>
        <w:rPr>
          <w:b/>
          <w:bCs/>
          <w:sz w:val="30"/>
          <w:szCs w:val="30"/>
        </w:rPr>
      </w:pPr>
    </w:p>
    <w:p w14:paraId="2869F01A" w14:textId="77777777" w:rsidR="00806109" w:rsidRDefault="00806109" w:rsidP="00806109">
      <w:pPr>
        <w:pStyle w:val="BodyText"/>
        <w:rPr>
          <w:b/>
          <w:bCs/>
          <w:sz w:val="30"/>
          <w:szCs w:val="30"/>
        </w:rPr>
      </w:pPr>
    </w:p>
    <w:p w14:paraId="032CE014" w14:textId="77777777" w:rsidR="00806109" w:rsidRDefault="00806109" w:rsidP="00806109">
      <w:pPr>
        <w:pStyle w:val="BodyText"/>
        <w:rPr>
          <w:b/>
          <w:bCs/>
          <w:sz w:val="30"/>
          <w:szCs w:val="30"/>
        </w:rPr>
      </w:pPr>
    </w:p>
    <w:p w14:paraId="6B9D0F71" w14:textId="77777777" w:rsidR="00806109" w:rsidRDefault="00806109" w:rsidP="00806109">
      <w:pPr>
        <w:pStyle w:val="BodyText"/>
        <w:rPr>
          <w:b/>
          <w:bCs/>
          <w:sz w:val="30"/>
          <w:szCs w:val="30"/>
        </w:rPr>
      </w:pPr>
    </w:p>
    <w:p w14:paraId="03665A64" w14:textId="77777777" w:rsidR="00806109" w:rsidRDefault="00806109" w:rsidP="00806109">
      <w:pPr>
        <w:pStyle w:val="BodyText"/>
        <w:rPr>
          <w:b/>
          <w:bCs/>
          <w:sz w:val="30"/>
          <w:szCs w:val="30"/>
        </w:rPr>
      </w:pPr>
    </w:p>
    <w:p w14:paraId="08A66DF2" w14:textId="77777777" w:rsidR="00806109" w:rsidRDefault="00806109" w:rsidP="00806109">
      <w:pPr>
        <w:pStyle w:val="BodyText"/>
        <w:rPr>
          <w:b/>
          <w:bCs/>
          <w:sz w:val="30"/>
          <w:szCs w:val="30"/>
        </w:rPr>
      </w:pPr>
    </w:p>
    <w:p w14:paraId="73D4988E" w14:textId="77777777" w:rsidR="00806109" w:rsidRDefault="00806109" w:rsidP="00806109">
      <w:pPr>
        <w:pStyle w:val="BodyText"/>
        <w:rPr>
          <w:b/>
          <w:bCs/>
          <w:sz w:val="30"/>
          <w:szCs w:val="30"/>
        </w:rPr>
      </w:pPr>
    </w:p>
    <w:p w14:paraId="3DED6FE7" w14:textId="77777777" w:rsidR="00806109" w:rsidRDefault="00806109" w:rsidP="00806109">
      <w:pPr>
        <w:pStyle w:val="BodyText"/>
        <w:rPr>
          <w:b/>
          <w:bCs/>
          <w:sz w:val="30"/>
          <w:szCs w:val="30"/>
        </w:rPr>
      </w:pPr>
    </w:p>
    <w:p w14:paraId="58EAD58C" w14:textId="77777777" w:rsidR="00806109" w:rsidRDefault="00806109" w:rsidP="00806109">
      <w:pPr>
        <w:pStyle w:val="BodyText"/>
        <w:rPr>
          <w:b/>
          <w:bCs/>
          <w:sz w:val="30"/>
          <w:szCs w:val="30"/>
        </w:rPr>
      </w:pPr>
    </w:p>
    <w:p w14:paraId="440F3387" w14:textId="77777777" w:rsidR="00806109" w:rsidRDefault="00806109" w:rsidP="00806109">
      <w:pPr>
        <w:pStyle w:val="BodyText"/>
        <w:rPr>
          <w:b/>
          <w:bCs/>
          <w:sz w:val="30"/>
          <w:szCs w:val="30"/>
        </w:rPr>
      </w:pPr>
    </w:p>
    <w:p w14:paraId="16388974" w14:textId="77777777" w:rsidR="00806109" w:rsidRPr="00B80ED3" w:rsidRDefault="00806109" w:rsidP="00806109">
      <w:pPr>
        <w:pStyle w:val="BodyText"/>
        <w:jc w:val="right"/>
        <w:rPr>
          <w:b/>
          <w:sz w:val="72"/>
          <w:szCs w:val="72"/>
        </w:rPr>
      </w:pPr>
      <w:r w:rsidRPr="00B80ED3">
        <w:rPr>
          <w:b/>
          <w:sz w:val="72"/>
          <w:szCs w:val="72"/>
        </w:rPr>
        <w:t>Image Scan Holdings plc</w:t>
      </w:r>
    </w:p>
    <w:p w14:paraId="11FDDE97" w14:textId="77777777" w:rsidR="00806109" w:rsidRDefault="00806109" w:rsidP="00806109">
      <w:pPr>
        <w:pStyle w:val="BodyText"/>
        <w:jc w:val="center"/>
        <w:rPr>
          <w:b/>
          <w:sz w:val="48"/>
          <w:szCs w:val="48"/>
        </w:rPr>
      </w:pPr>
    </w:p>
    <w:p w14:paraId="53510A37" w14:textId="22B8E059" w:rsidR="00806109" w:rsidRPr="00B80ED3" w:rsidRDefault="008F0CE5" w:rsidP="00806109">
      <w:pPr>
        <w:pStyle w:val="BodyText"/>
        <w:jc w:val="center"/>
        <w:rPr>
          <w:b/>
          <w:sz w:val="48"/>
          <w:szCs w:val="48"/>
        </w:rPr>
      </w:pPr>
      <w:r>
        <w:rPr>
          <w:b/>
          <w:sz w:val="48"/>
          <w:szCs w:val="48"/>
        </w:rPr>
        <w:t>Interim report 20</w:t>
      </w:r>
      <w:r w:rsidR="003A1383">
        <w:rPr>
          <w:b/>
          <w:sz w:val="48"/>
          <w:szCs w:val="48"/>
        </w:rPr>
        <w:t>2</w:t>
      </w:r>
      <w:r w:rsidR="003855EA">
        <w:rPr>
          <w:b/>
          <w:sz w:val="48"/>
          <w:szCs w:val="48"/>
        </w:rPr>
        <w:t>2</w:t>
      </w:r>
    </w:p>
    <w:p w14:paraId="6701C522" w14:textId="77777777" w:rsidR="00806109" w:rsidRDefault="00806109">
      <w:pPr>
        <w:spacing w:after="160" w:line="259" w:lineRule="auto"/>
        <w:rPr>
          <w:rFonts w:ascii="Arial" w:hAnsi="Arial" w:cs="Arial"/>
          <w:b/>
          <w:bCs/>
          <w:sz w:val="30"/>
          <w:szCs w:val="30"/>
        </w:rPr>
      </w:pPr>
      <w:r>
        <w:rPr>
          <w:rFonts w:ascii="Arial" w:hAnsi="Arial" w:cs="Arial"/>
          <w:b/>
          <w:bCs/>
          <w:sz w:val="30"/>
          <w:szCs w:val="30"/>
        </w:rPr>
        <w:br w:type="page"/>
      </w:r>
    </w:p>
    <w:p w14:paraId="4595F23F" w14:textId="77777777" w:rsidR="00B60027" w:rsidRDefault="00B60027" w:rsidP="00B60027">
      <w:pPr>
        <w:rPr>
          <w:rFonts w:ascii="Arial" w:hAnsi="Arial" w:cs="Arial"/>
          <w:b/>
          <w:bCs/>
          <w:sz w:val="30"/>
          <w:szCs w:val="30"/>
        </w:rPr>
      </w:pPr>
      <w:r w:rsidRPr="00792C98">
        <w:rPr>
          <w:rFonts w:ascii="Arial" w:hAnsi="Arial" w:cs="Arial"/>
          <w:b/>
          <w:bCs/>
          <w:sz w:val="30"/>
          <w:szCs w:val="30"/>
        </w:rPr>
        <w:lastRenderedPageBreak/>
        <w:t>Chairman’s statement</w:t>
      </w:r>
    </w:p>
    <w:p w14:paraId="3909F155" w14:textId="77777777" w:rsidR="00DB2B8F" w:rsidRPr="00FA0B19" w:rsidRDefault="00DB2B8F" w:rsidP="00DB2B8F">
      <w:pPr>
        <w:rPr>
          <w:rFonts w:ascii="Arial" w:hAnsi="Arial" w:cs="Arial"/>
          <w:b/>
          <w:bCs/>
        </w:rPr>
      </w:pPr>
      <w:r w:rsidRPr="00FA0B19">
        <w:rPr>
          <w:rFonts w:ascii="Arial" w:hAnsi="Arial" w:cs="Arial"/>
          <w:b/>
          <w:bCs/>
        </w:rPr>
        <w:t>Chairman’s statement</w:t>
      </w:r>
    </w:p>
    <w:p w14:paraId="4D7C12A2" w14:textId="77777777" w:rsidR="00DB2B8F" w:rsidRPr="00FA0B19" w:rsidRDefault="00DB2B8F" w:rsidP="00DB2B8F">
      <w:pPr>
        <w:pStyle w:val="BodyText"/>
        <w:rPr>
          <w:sz w:val="22"/>
          <w:szCs w:val="22"/>
        </w:rPr>
      </w:pPr>
    </w:p>
    <w:p w14:paraId="326E0BA2" w14:textId="77777777" w:rsidR="00370F37" w:rsidRPr="0059581E" w:rsidRDefault="00370F37" w:rsidP="00370F37">
      <w:pPr>
        <w:pStyle w:val="BodyText"/>
        <w:jc w:val="both"/>
        <w:rPr>
          <w:b/>
          <w:sz w:val="22"/>
          <w:szCs w:val="22"/>
        </w:rPr>
      </w:pPr>
      <w:r w:rsidRPr="0059581E">
        <w:rPr>
          <w:b/>
          <w:sz w:val="22"/>
          <w:szCs w:val="22"/>
        </w:rPr>
        <w:t>Introduction</w:t>
      </w:r>
    </w:p>
    <w:p w14:paraId="42C11F04" w14:textId="77777777" w:rsidR="00370F37" w:rsidRDefault="00370F37" w:rsidP="00370F37">
      <w:pPr>
        <w:pStyle w:val="BodyText"/>
        <w:jc w:val="both"/>
        <w:rPr>
          <w:sz w:val="22"/>
          <w:szCs w:val="22"/>
        </w:rPr>
      </w:pPr>
      <w:r w:rsidRPr="0059581E">
        <w:rPr>
          <w:sz w:val="22"/>
          <w:szCs w:val="22"/>
        </w:rPr>
        <w:t xml:space="preserve">Image Scan Holdings plc is a specialist in innovative X-ray technology, operating globally in the security and industrial inspection sectors. The Company’s principal activity is the design, manufacture, and supply of both portable and fixed X-ray security screening systems to governments, security organisations and law enforcement agencies. The Company also supplies high-quality </w:t>
      </w:r>
      <w:r>
        <w:rPr>
          <w:sz w:val="22"/>
          <w:szCs w:val="22"/>
        </w:rPr>
        <w:t>screening</w:t>
      </w:r>
      <w:r w:rsidRPr="0059581E">
        <w:rPr>
          <w:sz w:val="22"/>
          <w:szCs w:val="22"/>
        </w:rPr>
        <w:t xml:space="preserve"> systems </w:t>
      </w:r>
      <w:r>
        <w:rPr>
          <w:sz w:val="22"/>
          <w:szCs w:val="22"/>
        </w:rPr>
        <w:t>used in the manufacture of catalytic converters and diesel particulate filters</w:t>
      </w:r>
      <w:r w:rsidRPr="0059581E">
        <w:rPr>
          <w:sz w:val="22"/>
          <w:szCs w:val="22"/>
        </w:rPr>
        <w:t>.</w:t>
      </w:r>
    </w:p>
    <w:p w14:paraId="05CFBC24" w14:textId="77777777" w:rsidR="00370F37" w:rsidRPr="0059581E" w:rsidRDefault="00370F37" w:rsidP="00370F37">
      <w:pPr>
        <w:pStyle w:val="BodyText"/>
        <w:jc w:val="both"/>
        <w:rPr>
          <w:sz w:val="22"/>
          <w:szCs w:val="22"/>
        </w:rPr>
      </w:pPr>
    </w:p>
    <w:p w14:paraId="51E9503B" w14:textId="77777777" w:rsidR="00370F37" w:rsidRPr="00CD7F69" w:rsidRDefault="00370F37" w:rsidP="00370F37">
      <w:pPr>
        <w:pStyle w:val="BodyText"/>
        <w:jc w:val="both"/>
        <w:rPr>
          <w:b/>
          <w:sz w:val="22"/>
          <w:szCs w:val="22"/>
        </w:rPr>
      </w:pPr>
      <w:r w:rsidRPr="00CD7F69">
        <w:rPr>
          <w:b/>
          <w:sz w:val="22"/>
          <w:szCs w:val="22"/>
        </w:rPr>
        <w:t>Financial results</w:t>
      </w:r>
    </w:p>
    <w:p w14:paraId="7EB7D2E1" w14:textId="77777777" w:rsidR="00370F37" w:rsidRDefault="00370F37" w:rsidP="00370F37">
      <w:pPr>
        <w:spacing w:after="0" w:line="240" w:lineRule="auto"/>
        <w:jc w:val="both"/>
        <w:rPr>
          <w:rFonts w:ascii="Arial" w:hAnsi="Arial" w:cs="Arial"/>
        </w:rPr>
      </w:pPr>
      <w:r>
        <w:rPr>
          <w:rFonts w:ascii="Arial" w:hAnsi="Arial" w:cs="Arial"/>
        </w:rPr>
        <w:t xml:space="preserve">Order intake for the first six months ended 31 March 2022 (“H1 2022”) increased by 10% to £1,029k (H1 2021: £938k) and included the acquisition of some significant new customers for both industrial and security systems. </w:t>
      </w:r>
      <w:r w:rsidRPr="00CD7F69">
        <w:rPr>
          <w:rFonts w:ascii="Arial" w:hAnsi="Arial" w:cs="Arial"/>
        </w:rPr>
        <w:t xml:space="preserve">Revenues declined </w:t>
      </w:r>
      <w:r>
        <w:rPr>
          <w:rFonts w:ascii="Arial" w:hAnsi="Arial" w:cs="Arial"/>
        </w:rPr>
        <w:t xml:space="preserve">by 9% </w:t>
      </w:r>
      <w:r w:rsidRPr="00CD7F69">
        <w:rPr>
          <w:rFonts w:ascii="Arial" w:hAnsi="Arial" w:cs="Arial"/>
        </w:rPr>
        <w:t>to £</w:t>
      </w:r>
      <w:r>
        <w:rPr>
          <w:rFonts w:ascii="Arial" w:hAnsi="Arial" w:cs="Arial"/>
        </w:rPr>
        <w:t>790</w:t>
      </w:r>
      <w:r w:rsidRPr="00CD7F69">
        <w:rPr>
          <w:rFonts w:ascii="Arial" w:hAnsi="Arial" w:cs="Arial"/>
        </w:rPr>
        <w:t>k (</w:t>
      </w:r>
      <w:r>
        <w:rPr>
          <w:rFonts w:ascii="Arial" w:hAnsi="Arial" w:cs="Arial"/>
        </w:rPr>
        <w:t xml:space="preserve">H1 </w:t>
      </w:r>
      <w:r w:rsidRPr="00CD7F69">
        <w:rPr>
          <w:rFonts w:ascii="Arial" w:hAnsi="Arial" w:cs="Arial"/>
        </w:rPr>
        <w:t>202</w:t>
      </w:r>
      <w:r>
        <w:rPr>
          <w:rFonts w:ascii="Arial" w:hAnsi="Arial" w:cs="Arial"/>
        </w:rPr>
        <w:t>1</w:t>
      </w:r>
      <w:r w:rsidRPr="00CD7F69">
        <w:rPr>
          <w:rFonts w:ascii="Arial" w:hAnsi="Arial" w:cs="Arial"/>
        </w:rPr>
        <w:t>: £</w:t>
      </w:r>
      <w:r>
        <w:rPr>
          <w:rFonts w:ascii="Arial" w:hAnsi="Arial" w:cs="Arial"/>
        </w:rPr>
        <w:t xml:space="preserve">868k). Gross margin on those revenues was at 52% (H1 2021: 55%), the reduction in part due to increased costs for materials, </w:t>
      </w:r>
      <w:proofErr w:type="gramStart"/>
      <w:r>
        <w:rPr>
          <w:rFonts w:ascii="Arial" w:hAnsi="Arial" w:cs="Arial"/>
        </w:rPr>
        <w:t>components</w:t>
      </w:r>
      <w:proofErr w:type="gramEnd"/>
      <w:r>
        <w:rPr>
          <w:rFonts w:ascii="Arial" w:hAnsi="Arial" w:cs="Arial"/>
        </w:rPr>
        <w:t xml:space="preserve"> and shipping.</w:t>
      </w:r>
    </w:p>
    <w:p w14:paraId="6D21EDB5" w14:textId="77777777" w:rsidR="00370F37" w:rsidRDefault="00370F37" w:rsidP="00370F37">
      <w:pPr>
        <w:spacing w:after="0" w:line="240" w:lineRule="auto"/>
        <w:jc w:val="both"/>
        <w:rPr>
          <w:rFonts w:ascii="Arial" w:hAnsi="Arial" w:cs="Arial"/>
        </w:rPr>
      </w:pPr>
    </w:p>
    <w:p w14:paraId="49A92F37" w14:textId="77777777" w:rsidR="00370F37" w:rsidRDefault="00370F37" w:rsidP="00370F37">
      <w:pPr>
        <w:spacing w:after="0" w:line="240" w:lineRule="auto"/>
        <w:jc w:val="both"/>
        <w:rPr>
          <w:rFonts w:ascii="Arial" w:hAnsi="Arial" w:cs="Arial"/>
        </w:rPr>
      </w:pPr>
      <w:r>
        <w:rPr>
          <w:rFonts w:ascii="Arial" w:hAnsi="Arial" w:cs="Arial"/>
        </w:rPr>
        <w:t>Operating expenses increased to £752k (H1 2021: £682k), reflecting the loss of government COVID-19 support schemes and higher expenditure on marketing and travel. The latter was driven by the re-opening of travel routes and the return of security trade shows, which provide an important showcase for the Company’s products. The overall effect of reduced sales and margin, coupled with higher costs, led to a loss in H1 2022 of £345k (H1 2021: loss of £201k).</w:t>
      </w:r>
    </w:p>
    <w:p w14:paraId="7A85318F" w14:textId="77777777" w:rsidR="00370F37" w:rsidRDefault="00370F37" w:rsidP="00370F37">
      <w:pPr>
        <w:spacing w:after="0" w:line="240" w:lineRule="auto"/>
        <w:jc w:val="both"/>
        <w:rPr>
          <w:rFonts w:ascii="Arial" w:hAnsi="Arial" w:cs="Arial"/>
        </w:rPr>
      </w:pPr>
    </w:p>
    <w:p w14:paraId="62CB4052" w14:textId="77777777" w:rsidR="00370F37" w:rsidRDefault="00370F37" w:rsidP="00370F37">
      <w:pPr>
        <w:spacing w:after="0" w:line="240" w:lineRule="auto"/>
        <w:jc w:val="both"/>
        <w:rPr>
          <w:rFonts w:ascii="Arial" w:hAnsi="Arial" w:cs="Arial"/>
        </w:rPr>
      </w:pPr>
      <w:r>
        <w:rPr>
          <w:rFonts w:ascii="Arial" w:hAnsi="Arial" w:cs="Arial"/>
        </w:rPr>
        <w:t>Stock increased to £581k (H1 2021: £366k). Part of this increases was driven by decisions to hold higher than normal quantities of parts, in particular electronic components, as a buffer against anticipated shortages and price increases. The process of amortising appropriate research and development spend, which began in FY 2021, led to an increase in non-current assets to £</w:t>
      </w:r>
      <w:r w:rsidRPr="002A3F71">
        <w:rPr>
          <w:rFonts w:ascii="Arial" w:hAnsi="Arial" w:cs="Arial"/>
        </w:rPr>
        <w:t>425k (</w:t>
      </w:r>
      <w:r>
        <w:rPr>
          <w:rFonts w:ascii="Arial" w:hAnsi="Arial" w:cs="Arial"/>
        </w:rPr>
        <w:t xml:space="preserve">H1 </w:t>
      </w:r>
      <w:r w:rsidRPr="002A3F71">
        <w:rPr>
          <w:rFonts w:ascii="Arial" w:hAnsi="Arial" w:cs="Arial"/>
        </w:rPr>
        <w:t>2021: £360k).</w:t>
      </w:r>
      <w:r>
        <w:rPr>
          <w:rFonts w:ascii="Arial" w:hAnsi="Arial" w:cs="Arial"/>
        </w:rPr>
        <w:t xml:space="preserve"> </w:t>
      </w:r>
    </w:p>
    <w:p w14:paraId="2A6F6FEB" w14:textId="77777777" w:rsidR="00370F37" w:rsidRDefault="00370F37" w:rsidP="00370F37">
      <w:pPr>
        <w:spacing w:after="0" w:line="240" w:lineRule="auto"/>
        <w:jc w:val="both"/>
        <w:rPr>
          <w:rFonts w:ascii="Arial" w:hAnsi="Arial" w:cs="Arial"/>
        </w:rPr>
      </w:pPr>
    </w:p>
    <w:p w14:paraId="102553F4" w14:textId="77777777" w:rsidR="00370F37" w:rsidRDefault="00370F37" w:rsidP="00370F37">
      <w:pPr>
        <w:spacing w:after="0" w:line="240" w:lineRule="auto"/>
        <w:jc w:val="both"/>
        <w:rPr>
          <w:rFonts w:ascii="Arial" w:hAnsi="Arial" w:cs="Arial"/>
        </w:rPr>
      </w:pPr>
      <w:r>
        <w:rPr>
          <w:rFonts w:ascii="Arial" w:hAnsi="Arial" w:cs="Arial"/>
        </w:rPr>
        <w:t xml:space="preserve">The Company finished H1 2022 with an orderbook of £721k </w:t>
      </w:r>
      <w:r w:rsidRPr="0059581E">
        <w:rPr>
          <w:rFonts w:ascii="Arial" w:hAnsi="Arial" w:cs="Arial"/>
        </w:rPr>
        <w:t>(</w:t>
      </w:r>
      <w:r>
        <w:rPr>
          <w:rFonts w:ascii="Arial" w:hAnsi="Arial" w:cs="Arial"/>
        </w:rPr>
        <w:t xml:space="preserve">H1 </w:t>
      </w:r>
      <w:r w:rsidRPr="0059581E">
        <w:rPr>
          <w:rFonts w:ascii="Arial" w:hAnsi="Arial" w:cs="Arial"/>
        </w:rPr>
        <w:t>20</w:t>
      </w:r>
      <w:r>
        <w:rPr>
          <w:rFonts w:ascii="Arial" w:hAnsi="Arial" w:cs="Arial"/>
        </w:rPr>
        <w:t>21</w:t>
      </w:r>
      <w:r w:rsidRPr="0059581E">
        <w:rPr>
          <w:rFonts w:ascii="Arial" w:hAnsi="Arial" w:cs="Arial"/>
        </w:rPr>
        <w:t>: £</w:t>
      </w:r>
      <w:r>
        <w:rPr>
          <w:rFonts w:ascii="Arial" w:hAnsi="Arial" w:cs="Arial"/>
        </w:rPr>
        <w:t>702k</w:t>
      </w:r>
      <w:r w:rsidRPr="0059581E">
        <w:rPr>
          <w:rFonts w:ascii="Arial" w:hAnsi="Arial" w:cs="Arial"/>
        </w:rPr>
        <w:t>)</w:t>
      </w:r>
      <w:r>
        <w:rPr>
          <w:rFonts w:ascii="Arial" w:hAnsi="Arial" w:cs="Arial"/>
        </w:rPr>
        <w:t xml:space="preserve"> and positive cash balance of £777k</w:t>
      </w:r>
      <w:r w:rsidRPr="0059581E">
        <w:rPr>
          <w:rFonts w:ascii="Arial" w:hAnsi="Arial" w:cs="Arial"/>
        </w:rPr>
        <w:t xml:space="preserve"> (</w:t>
      </w:r>
      <w:r>
        <w:rPr>
          <w:rFonts w:ascii="Arial" w:hAnsi="Arial" w:cs="Arial"/>
        </w:rPr>
        <w:t xml:space="preserve">H1 </w:t>
      </w:r>
      <w:r w:rsidRPr="0059581E">
        <w:rPr>
          <w:rFonts w:ascii="Arial" w:hAnsi="Arial" w:cs="Arial"/>
        </w:rPr>
        <w:t>20</w:t>
      </w:r>
      <w:r>
        <w:rPr>
          <w:rFonts w:ascii="Arial" w:hAnsi="Arial" w:cs="Arial"/>
        </w:rPr>
        <w:t>21</w:t>
      </w:r>
      <w:r w:rsidRPr="0059581E">
        <w:rPr>
          <w:rFonts w:ascii="Arial" w:hAnsi="Arial" w:cs="Arial"/>
        </w:rPr>
        <w:t>: £</w:t>
      </w:r>
      <w:r>
        <w:rPr>
          <w:rFonts w:ascii="Arial" w:hAnsi="Arial" w:cs="Arial"/>
        </w:rPr>
        <w:t>1.1m</w:t>
      </w:r>
      <w:r w:rsidRPr="0059581E">
        <w:rPr>
          <w:rFonts w:ascii="Arial" w:hAnsi="Arial" w:cs="Arial"/>
        </w:rPr>
        <w:t>)</w:t>
      </w:r>
      <w:r>
        <w:rPr>
          <w:rFonts w:ascii="Arial" w:hAnsi="Arial" w:cs="Arial"/>
        </w:rPr>
        <w:t xml:space="preserve">. </w:t>
      </w:r>
    </w:p>
    <w:p w14:paraId="0312795B" w14:textId="77777777" w:rsidR="00370F37" w:rsidRDefault="00370F37" w:rsidP="00370F37">
      <w:pPr>
        <w:spacing w:after="0" w:line="240" w:lineRule="auto"/>
        <w:jc w:val="both"/>
        <w:rPr>
          <w:rFonts w:ascii="Arial" w:hAnsi="Arial" w:cs="Arial"/>
        </w:rPr>
      </w:pPr>
    </w:p>
    <w:p w14:paraId="76C656FF" w14:textId="77777777" w:rsidR="00370F37" w:rsidRDefault="00370F37" w:rsidP="00370F37">
      <w:pPr>
        <w:spacing w:after="0" w:line="240" w:lineRule="auto"/>
        <w:jc w:val="both"/>
        <w:rPr>
          <w:rFonts w:ascii="Arial" w:hAnsi="Arial" w:cs="Arial"/>
        </w:rPr>
      </w:pPr>
    </w:p>
    <w:p w14:paraId="320464A8" w14:textId="77777777" w:rsidR="00370F37" w:rsidRPr="00D31B1D" w:rsidRDefault="00370F37" w:rsidP="00370F37">
      <w:pPr>
        <w:spacing w:after="0" w:line="240" w:lineRule="auto"/>
        <w:jc w:val="both"/>
        <w:rPr>
          <w:rFonts w:ascii="Arial" w:hAnsi="Arial" w:cs="Arial"/>
        </w:rPr>
      </w:pPr>
      <w:r w:rsidRPr="00D31B1D">
        <w:rPr>
          <w:rFonts w:ascii="Arial" w:hAnsi="Arial" w:cs="Arial"/>
          <w:b/>
        </w:rPr>
        <w:t>Overview</w:t>
      </w:r>
    </w:p>
    <w:p w14:paraId="6D9660B6" w14:textId="77777777" w:rsidR="00370F37" w:rsidRDefault="00370F37" w:rsidP="00370F37">
      <w:pPr>
        <w:pStyle w:val="BodyText"/>
        <w:spacing w:after="100" w:afterAutospacing="1"/>
        <w:jc w:val="both"/>
        <w:rPr>
          <w:sz w:val="22"/>
          <w:szCs w:val="22"/>
        </w:rPr>
      </w:pPr>
      <w:r>
        <w:rPr>
          <w:bCs/>
          <w:sz w:val="22"/>
          <w:szCs w:val="22"/>
        </w:rPr>
        <w:t xml:space="preserve">As in the same period last year, the overall level of trading was disappointing, with delays to several significant overseas government procurements. However, our high-value </w:t>
      </w:r>
      <w:r w:rsidRPr="008936BB">
        <w:rPr>
          <w:sz w:val="22"/>
          <w:szCs w:val="22"/>
        </w:rPr>
        <w:t xml:space="preserve">ThreatScan®-LSC </w:t>
      </w:r>
      <w:r>
        <w:rPr>
          <w:sz w:val="22"/>
          <w:szCs w:val="22"/>
        </w:rPr>
        <w:t xml:space="preserve">portable X-ray </w:t>
      </w:r>
      <w:r w:rsidRPr="008936BB">
        <w:rPr>
          <w:sz w:val="22"/>
          <w:szCs w:val="22"/>
        </w:rPr>
        <w:t>sys</w:t>
      </w:r>
      <w:r>
        <w:rPr>
          <w:sz w:val="22"/>
          <w:szCs w:val="22"/>
        </w:rPr>
        <w:t>t</w:t>
      </w:r>
      <w:r w:rsidRPr="008936BB">
        <w:rPr>
          <w:sz w:val="22"/>
          <w:szCs w:val="22"/>
        </w:rPr>
        <w:t>em</w:t>
      </w:r>
      <w:r>
        <w:rPr>
          <w:sz w:val="22"/>
          <w:szCs w:val="22"/>
        </w:rPr>
        <w:t xml:space="preserve">, which combines large format and compact detector panels in a single package, is proving popular with UK police forces. We now have three customers in this sector. We have also received a portable X-Ray order from a </w:t>
      </w:r>
      <w:r w:rsidRPr="002577A1">
        <w:rPr>
          <w:sz w:val="22"/>
          <w:szCs w:val="22"/>
        </w:rPr>
        <w:t>US Federal agency</w:t>
      </w:r>
      <w:r>
        <w:rPr>
          <w:sz w:val="22"/>
          <w:szCs w:val="22"/>
        </w:rPr>
        <w:t xml:space="preserve"> and found new customers for the Axis-CXi cabinet X-ray system. </w:t>
      </w:r>
    </w:p>
    <w:p w14:paraId="3D092499" w14:textId="77777777" w:rsidR="00370F37" w:rsidRDefault="00370F37" w:rsidP="00370F37">
      <w:pPr>
        <w:pStyle w:val="BodyText"/>
        <w:spacing w:after="100" w:afterAutospacing="1"/>
        <w:jc w:val="both"/>
        <w:rPr>
          <w:sz w:val="22"/>
          <w:szCs w:val="22"/>
        </w:rPr>
      </w:pPr>
      <w:r>
        <w:rPr>
          <w:sz w:val="22"/>
          <w:szCs w:val="22"/>
        </w:rPr>
        <w:t xml:space="preserve">An important milestone in H1 2022 was the market launch of the new </w:t>
      </w:r>
      <w:r w:rsidRPr="008936BB">
        <w:rPr>
          <w:sz w:val="22"/>
          <w:szCs w:val="22"/>
        </w:rPr>
        <w:t>ThreatScan®-</w:t>
      </w:r>
      <w:r>
        <w:rPr>
          <w:sz w:val="22"/>
          <w:szCs w:val="22"/>
        </w:rPr>
        <w:t xml:space="preserve">AS1 portable X-Ray system. This is the first time the Company has used amorphous silicon detector technology, which is the same technology used in </w:t>
      </w:r>
      <w:proofErr w:type="gramStart"/>
      <w:r>
        <w:rPr>
          <w:sz w:val="22"/>
          <w:szCs w:val="22"/>
        </w:rPr>
        <w:t>the majority of</w:t>
      </w:r>
      <w:proofErr w:type="gramEnd"/>
      <w:r>
        <w:rPr>
          <w:sz w:val="22"/>
          <w:szCs w:val="22"/>
        </w:rPr>
        <w:t xml:space="preserve"> medical X-ray systems. The new system is highly integrated, combining generator, detector panel, computer, touch-screen display, Wi-Fi unit and power supplies in a single rugged case. A second tablet computer adds further flexibility in the use of the system. In what has become a crowded market, this bold move by the Company aims to provide the best performing portable X-ray system in the world. Initial response from early demonstrations in the Middle East and the UK, has been positive. The system will be demonstrated at security trade shows in Singapore and North America in the next few months. </w:t>
      </w:r>
    </w:p>
    <w:p w14:paraId="22CDCC70" w14:textId="76FDCD57" w:rsidR="00370F37" w:rsidRDefault="00370F37" w:rsidP="00370F37">
      <w:pPr>
        <w:pStyle w:val="BodyText"/>
        <w:spacing w:after="100" w:afterAutospacing="1"/>
        <w:jc w:val="both"/>
        <w:rPr>
          <w:sz w:val="22"/>
          <w:szCs w:val="22"/>
        </w:rPr>
      </w:pPr>
      <w:r>
        <w:rPr>
          <w:sz w:val="22"/>
          <w:szCs w:val="22"/>
        </w:rPr>
        <w:lastRenderedPageBreak/>
        <w:t>Development of the new Axis conveyor X-ray systems</w:t>
      </w:r>
      <w:r>
        <w:rPr>
          <w:sz w:val="22"/>
          <w:szCs w:val="22"/>
        </w:rPr>
        <w:t xml:space="preserve"> was delayed somewhat due to the focus on the </w:t>
      </w:r>
      <w:r w:rsidRPr="008936BB">
        <w:rPr>
          <w:sz w:val="22"/>
          <w:szCs w:val="22"/>
        </w:rPr>
        <w:t>ThreatScan®-</w:t>
      </w:r>
      <w:r>
        <w:rPr>
          <w:sz w:val="22"/>
          <w:szCs w:val="22"/>
        </w:rPr>
        <w:t xml:space="preserve">AS1 which is now complete, and the system will be offered to customers in the second half of FY2022. Following signature of a distribution agreement, we added the Serstech range of portable chemical analysers to our product range and are now presenting these to our global customers and partners. We are also offering other third-party products to customer and distribution partners through our website. </w:t>
      </w:r>
    </w:p>
    <w:p w14:paraId="4C28A9C5" w14:textId="77777777" w:rsidR="00370F37" w:rsidRDefault="00370F37" w:rsidP="00370F37">
      <w:pPr>
        <w:pStyle w:val="BodyText"/>
        <w:spacing w:after="100" w:afterAutospacing="1"/>
        <w:jc w:val="both"/>
        <w:rPr>
          <w:sz w:val="22"/>
          <w:szCs w:val="22"/>
        </w:rPr>
      </w:pPr>
      <w:r>
        <w:rPr>
          <w:sz w:val="22"/>
          <w:szCs w:val="22"/>
        </w:rPr>
        <w:t xml:space="preserve">In the industrial market, with the automotive industry heavily impacted by COVID-19, it is encouraging that the business was both able to gain a new customer and received follow-on orders from existing customers. All our industrial service contracts were maintained through the continuing pandemic, despite the difficulties arising from travel restrictions. </w:t>
      </w:r>
    </w:p>
    <w:p w14:paraId="4F05D68A" w14:textId="77777777" w:rsidR="00370F37" w:rsidRDefault="00370F37" w:rsidP="00370F37">
      <w:pPr>
        <w:pStyle w:val="BodyText"/>
        <w:spacing w:after="100" w:afterAutospacing="1"/>
        <w:jc w:val="both"/>
        <w:rPr>
          <w:bCs/>
          <w:sz w:val="22"/>
          <w:szCs w:val="22"/>
        </w:rPr>
      </w:pPr>
      <w:r>
        <w:rPr>
          <w:sz w:val="22"/>
          <w:szCs w:val="22"/>
        </w:rPr>
        <w:t xml:space="preserve">Global supply chains have been considerably disrupted by multiple factors and this is reflected in price inflation and shortages across multiple commodities and components. Transport costs have also increased dramatically. The Company has worked hard to isolate itself as far as possible from the effects of these trends. However, we have had to accept higher prices for scarce electronics components and have taken decisions to protect production schedules by holding higher stock levels of certain items than would be normal to ensure customer deliveries continue to be made on time. </w:t>
      </w:r>
    </w:p>
    <w:p w14:paraId="7384A411" w14:textId="77777777" w:rsidR="00370F37" w:rsidRDefault="00370F37" w:rsidP="00370F37">
      <w:pPr>
        <w:spacing w:line="20" w:lineRule="atLeast"/>
        <w:jc w:val="both"/>
        <w:rPr>
          <w:rFonts w:ascii="Arial" w:hAnsi="Arial" w:cs="Arial"/>
          <w:b/>
          <w:bCs/>
        </w:rPr>
      </w:pPr>
      <w:r w:rsidRPr="0059581E">
        <w:rPr>
          <w:rFonts w:ascii="Arial" w:hAnsi="Arial" w:cs="Arial"/>
          <w:b/>
          <w:bCs/>
        </w:rPr>
        <w:t xml:space="preserve">Outlook </w:t>
      </w:r>
    </w:p>
    <w:p w14:paraId="429722B3" w14:textId="77777777" w:rsidR="00370F37" w:rsidRPr="00F62597" w:rsidRDefault="00370F37" w:rsidP="00370F37">
      <w:pPr>
        <w:spacing w:line="20" w:lineRule="atLeast"/>
        <w:jc w:val="both"/>
        <w:rPr>
          <w:rFonts w:ascii="Arial" w:hAnsi="Arial" w:cs="Arial"/>
        </w:rPr>
      </w:pPr>
      <w:r>
        <w:rPr>
          <w:rFonts w:ascii="Arial" w:hAnsi="Arial" w:cs="Arial"/>
        </w:rPr>
        <w:t>The pandemic</w:t>
      </w:r>
      <w:r w:rsidRPr="00F62597">
        <w:rPr>
          <w:rFonts w:ascii="Arial" w:hAnsi="Arial" w:cs="Arial"/>
        </w:rPr>
        <w:t xml:space="preserve"> continues to impact global trade and </w:t>
      </w:r>
      <w:r>
        <w:rPr>
          <w:rFonts w:ascii="Arial" w:hAnsi="Arial" w:cs="Arial"/>
        </w:rPr>
        <w:t xml:space="preserve">travel, and only recently has attendance at security trade shows and demonstrations to overseas customers restarted. This has been a far from ideal environment in which to launch our ambitious new portable X-ray system but, with additional demonstration units in production, promotion of this important system is a key focus for H2 2022. We look for </w:t>
      </w:r>
      <w:proofErr w:type="gramStart"/>
      <w:r>
        <w:rPr>
          <w:rFonts w:ascii="Arial" w:hAnsi="Arial" w:cs="Arial"/>
        </w:rPr>
        <w:t>a number of</w:t>
      </w:r>
      <w:proofErr w:type="gramEnd"/>
      <w:r>
        <w:rPr>
          <w:rFonts w:ascii="Arial" w:hAnsi="Arial" w:cs="Arial"/>
        </w:rPr>
        <w:t xml:space="preserve"> delayed government procurements for portable X-ray systems to finally close and are working hard to ensure this happens sufficiently quickly to impact second half sales for FY 2022. </w:t>
      </w:r>
    </w:p>
    <w:p w14:paraId="3B1B170D" w14:textId="77777777" w:rsidR="00370F37" w:rsidRDefault="00370F37" w:rsidP="00370F37">
      <w:pPr>
        <w:spacing w:line="20" w:lineRule="atLeast"/>
        <w:jc w:val="both"/>
        <w:rPr>
          <w:rFonts w:ascii="Arial" w:hAnsi="Arial" w:cs="Arial"/>
        </w:rPr>
      </w:pPr>
      <w:r>
        <w:rPr>
          <w:rFonts w:ascii="Arial" w:hAnsi="Arial" w:cs="Arial"/>
        </w:rPr>
        <w:t xml:space="preserve">The automotive sector will be slow to recover from COVID-19 and our business in this sector is likely to be impacted while our customers adjust their manufacturing footprint to reflect the magnitude and distribution of global demand for catalytic converters. This makes our success in winning a new customer even more important, and it is to be hoped that their trial of the first machine leads to the same type of global deployment carried out by our other industrial customers. We have now successfully imaged components for an automotive fuel cell manufacturer and will continue to explore opportunities in this area. </w:t>
      </w:r>
    </w:p>
    <w:p w14:paraId="19502863" w14:textId="77777777" w:rsidR="00370F37" w:rsidRDefault="00370F37" w:rsidP="00370F37">
      <w:pPr>
        <w:spacing w:line="20" w:lineRule="atLeast"/>
        <w:jc w:val="both"/>
        <w:rPr>
          <w:rFonts w:ascii="Arial" w:hAnsi="Arial" w:cs="Arial"/>
        </w:rPr>
      </w:pPr>
      <w:r>
        <w:rPr>
          <w:rFonts w:ascii="Arial" w:hAnsi="Arial" w:cs="Arial"/>
        </w:rPr>
        <w:t>As indicated in our trading update on 22 February 2022, while we expect the overall financial year to be stronger in H2 2022, it is</w:t>
      </w:r>
      <w:r w:rsidRPr="00EC3B39">
        <w:rPr>
          <w:rFonts w:ascii="Arial" w:hAnsi="Arial" w:cs="Arial"/>
        </w:rPr>
        <w:t xml:space="preserve"> </w:t>
      </w:r>
      <w:r w:rsidRPr="00EC303A">
        <w:rPr>
          <w:rFonts w:ascii="Arial" w:hAnsi="Arial" w:cs="Arial"/>
        </w:rPr>
        <w:t xml:space="preserve">unlikely </w:t>
      </w:r>
      <w:r>
        <w:rPr>
          <w:rFonts w:ascii="Arial" w:hAnsi="Arial" w:cs="Arial"/>
        </w:rPr>
        <w:t>H2 2022</w:t>
      </w:r>
      <w:r w:rsidRPr="00EC303A">
        <w:rPr>
          <w:rFonts w:ascii="Arial" w:hAnsi="Arial" w:cs="Arial"/>
        </w:rPr>
        <w:t xml:space="preserve"> will be sufficiently strong to enable the Company to fully recover the </w:t>
      </w:r>
      <w:r>
        <w:rPr>
          <w:rFonts w:ascii="Arial" w:hAnsi="Arial" w:cs="Arial"/>
        </w:rPr>
        <w:t>H1</w:t>
      </w:r>
      <w:r w:rsidRPr="00EC303A">
        <w:rPr>
          <w:rFonts w:ascii="Arial" w:hAnsi="Arial" w:cs="Arial"/>
        </w:rPr>
        <w:t xml:space="preserve"> </w:t>
      </w:r>
      <w:r>
        <w:rPr>
          <w:rFonts w:ascii="Arial" w:hAnsi="Arial" w:cs="Arial"/>
        </w:rPr>
        <w:t xml:space="preserve">2022 </w:t>
      </w:r>
      <w:r w:rsidRPr="00EC303A">
        <w:rPr>
          <w:rFonts w:ascii="Arial" w:hAnsi="Arial" w:cs="Arial"/>
        </w:rPr>
        <w:t>loss</w:t>
      </w:r>
      <w:r>
        <w:rPr>
          <w:rFonts w:ascii="Arial" w:hAnsi="Arial" w:cs="Arial"/>
        </w:rPr>
        <w:t xml:space="preserve">. We therefore expect to trade in line with market expectations for the </w:t>
      </w:r>
      <w:proofErr w:type="gramStart"/>
      <w:r>
        <w:rPr>
          <w:rFonts w:ascii="Arial" w:hAnsi="Arial" w:cs="Arial"/>
        </w:rPr>
        <w:t>year as a whole</w:t>
      </w:r>
      <w:proofErr w:type="gramEnd"/>
      <w:r>
        <w:rPr>
          <w:rFonts w:ascii="Arial" w:hAnsi="Arial" w:cs="Arial"/>
        </w:rPr>
        <w:t>.</w:t>
      </w:r>
    </w:p>
    <w:p w14:paraId="332A2F90" w14:textId="77777777" w:rsidR="00370F37" w:rsidRDefault="00370F37" w:rsidP="00370F37">
      <w:pPr>
        <w:spacing w:line="20" w:lineRule="atLeast"/>
        <w:jc w:val="both"/>
        <w:rPr>
          <w:rFonts w:ascii="Arial" w:hAnsi="Arial" w:cs="Arial"/>
        </w:rPr>
      </w:pPr>
    </w:p>
    <w:p w14:paraId="746F79BB" w14:textId="77777777" w:rsidR="00370F37" w:rsidRPr="0059581E" w:rsidRDefault="00370F37" w:rsidP="00370F37">
      <w:pPr>
        <w:pStyle w:val="BodyText"/>
        <w:jc w:val="both"/>
        <w:rPr>
          <w:sz w:val="22"/>
          <w:szCs w:val="22"/>
        </w:rPr>
      </w:pPr>
    </w:p>
    <w:p w14:paraId="739DF3A4" w14:textId="77777777" w:rsidR="00370F37" w:rsidRPr="0059581E" w:rsidRDefault="00370F37" w:rsidP="00370F37">
      <w:pPr>
        <w:spacing w:after="0"/>
        <w:jc w:val="both"/>
        <w:rPr>
          <w:rFonts w:ascii="Arial" w:hAnsi="Arial" w:cs="Arial"/>
          <w:b/>
          <w:bCs/>
          <w:color w:val="000000"/>
        </w:rPr>
      </w:pPr>
      <w:r w:rsidRPr="0059581E">
        <w:rPr>
          <w:rFonts w:ascii="Arial" w:hAnsi="Arial" w:cs="Arial"/>
          <w:b/>
          <w:bCs/>
          <w:color w:val="000000"/>
        </w:rPr>
        <w:t>Bill Mawer</w:t>
      </w:r>
    </w:p>
    <w:p w14:paraId="0D98CC66" w14:textId="77777777" w:rsidR="00370F37" w:rsidRPr="0059581E" w:rsidRDefault="00370F37" w:rsidP="00370F37">
      <w:pPr>
        <w:spacing w:after="0"/>
        <w:jc w:val="both"/>
        <w:rPr>
          <w:rFonts w:ascii="Arial" w:hAnsi="Arial" w:cs="Arial"/>
          <w:b/>
          <w:bCs/>
          <w:i/>
          <w:iCs/>
          <w:color w:val="000000"/>
        </w:rPr>
      </w:pPr>
      <w:r>
        <w:rPr>
          <w:rFonts w:ascii="Arial" w:hAnsi="Arial" w:cs="Arial"/>
          <w:b/>
          <w:bCs/>
          <w:i/>
          <w:iCs/>
          <w:color w:val="000000"/>
        </w:rPr>
        <w:t>Executive Chairman</w:t>
      </w:r>
    </w:p>
    <w:p w14:paraId="39E6153C" w14:textId="77777777" w:rsidR="00370F37" w:rsidRDefault="00370F37" w:rsidP="00370F37">
      <w:pPr>
        <w:spacing w:after="0"/>
        <w:jc w:val="both"/>
      </w:pPr>
      <w:r w:rsidRPr="0059581E">
        <w:rPr>
          <w:rFonts w:ascii="Arial" w:hAnsi="Arial" w:cs="Arial"/>
          <w:color w:val="000000"/>
        </w:rPr>
        <w:t>2</w:t>
      </w:r>
      <w:r>
        <w:rPr>
          <w:rFonts w:ascii="Arial" w:hAnsi="Arial" w:cs="Arial"/>
          <w:color w:val="000000"/>
        </w:rPr>
        <w:t>7</w:t>
      </w:r>
      <w:r w:rsidRPr="0059581E">
        <w:rPr>
          <w:rFonts w:ascii="Arial" w:hAnsi="Arial" w:cs="Arial"/>
          <w:color w:val="000000"/>
        </w:rPr>
        <w:t>/04/202</w:t>
      </w:r>
      <w:r>
        <w:rPr>
          <w:rFonts w:ascii="Arial" w:hAnsi="Arial" w:cs="Arial"/>
          <w:color w:val="000000"/>
        </w:rPr>
        <w:t>2</w:t>
      </w:r>
    </w:p>
    <w:p w14:paraId="269F89DD" w14:textId="77777777" w:rsidR="00F16B5F" w:rsidRPr="002F44AF" w:rsidRDefault="00F16B5F" w:rsidP="00F16B5F">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759E6766" w14:textId="77777777" w:rsidR="009413A0" w:rsidRDefault="009413A0">
      <w:pPr>
        <w:spacing w:after="160" w:line="259"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br w:type="page"/>
      </w:r>
    </w:p>
    <w:p w14:paraId="51FDC44E" w14:textId="3C17BC45" w:rsidR="002C5B2A" w:rsidRPr="002C5B2A" w:rsidRDefault="002C5B2A" w:rsidP="002C5B2A">
      <w:pPr>
        <w:spacing w:after="0" w:line="360" w:lineRule="atLeast"/>
        <w:rPr>
          <w:rFonts w:ascii="Arial" w:eastAsia="Times New Roman" w:hAnsi="Arial" w:cs="Arial"/>
          <w:b/>
          <w:bCs/>
          <w:color w:val="000000"/>
          <w:sz w:val="32"/>
          <w:szCs w:val="32"/>
          <w:lang w:eastAsia="en-GB"/>
        </w:rPr>
      </w:pPr>
      <w:r w:rsidRPr="002C5B2A">
        <w:rPr>
          <w:rFonts w:ascii="Arial" w:eastAsia="Times New Roman" w:hAnsi="Arial" w:cs="Arial"/>
          <w:b/>
          <w:bCs/>
          <w:color w:val="000000"/>
          <w:sz w:val="20"/>
          <w:szCs w:val="20"/>
          <w:lang w:eastAsia="en-GB"/>
        </w:rPr>
        <w:lastRenderedPageBreak/>
        <w:t>Consolidated income statement</w:t>
      </w:r>
    </w:p>
    <w:p w14:paraId="0F60B869" w14:textId="4325F39B" w:rsidR="002C5B2A" w:rsidRPr="002C5B2A" w:rsidRDefault="002C5B2A" w:rsidP="002C5B2A">
      <w:pPr>
        <w:spacing w:after="0" w:line="240" w:lineRule="atLeast"/>
        <w:rPr>
          <w:rFonts w:ascii="Arial" w:eastAsia="Times New Roman" w:hAnsi="Arial" w:cs="Arial"/>
          <w:b/>
          <w:bCs/>
          <w:color w:val="000000"/>
          <w:sz w:val="32"/>
          <w:szCs w:val="32"/>
          <w:lang w:eastAsia="en-GB"/>
        </w:rPr>
      </w:pPr>
      <w:r w:rsidRPr="002C5B2A">
        <w:rPr>
          <w:rFonts w:ascii="Arial" w:eastAsia="Times New Roman" w:hAnsi="Arial" w:cs="Arial"/>
          <w:b/>
          <w:bCs/>
          <w:color w:val="000000"/>
          <w:sz w:val="20"/>
          <w:szCs w:val="20"/>
          <w:lang w:eastAsia="en-GB"/>
        </w:rPr>
        <w:t>For the six months ended 31 March 20</w:t>
      </w:r>
      <w:r w:rsidR="009413A0">
        <w:rPr>
          <w:rFonts w:ascii="Arial" w:eastAsia="Times New Roman" w:hAnsi="Arial" w:cs="Arial"/>
          <w:b/>
          <w:bCs/>
          <w:color w:val="000000"/>
          <w:sz w:val="20"/>
          <w:szCs w:val="20"/>
          <w:lang w:eastAsia="en-GB"/>
        </w:rPr>
        <w:t>2</w:t>
      </w:r>
      <w:r w:rsidR="003855EA">
        <w:rPr>
          <w:rFonts w:ascii="Arial" w:eastAsia="Times New Roman" w:hAnsi="Arial" w:cs="Arial"/>
          <w:b/>
          <w:bCs/>
          <w:color w:val="000000"/>
          <w:sz w:val="20"/>
          <w:szCs w:val="20"/>
          <w:lang w:eastAsia="en-GB"/>
        </w:rPr>
        <w:t>2</w:t>
      </w:r>
    </w:p>
    <w:p w14:paraId="0C8F3FFB"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tbl>
      <w:tblPr>
        <w:tblW w:w="9338" w:type="dxa"/>
        <w:tblInd w:w="8" w:type="dxa"/>
        <w:tblCellMar>
          <w:left w:w="0" w:type="dxa"/>
          <w:right w:w="0" w:type="dxa"/>
        </w:tblCellMar>
        <w:tblLook w:val="04A0" w:firstRow="1" w:lastRow="0" w:firstColumn="1" w:lastColumn="0" w:noHBand="0" w:noVBand="1"/>
      </w:tblPr>
      <w:tblGrid>
        <w:gridCol w:w="5085"/>
        <w:gridCol w:w="628"/>
        <w:gridCol w:w="1214"/>
        <w:gridCol w:w="1135"/>
        <w:gridCol w:w="1276"/>
      </w:tblGrid>
      <w:tr w:rsidR="00BA3023" w:rsidRPr="00BA3023" w14:paraId="60CF2E12" w14:textId="77777777" w:rsidTr="00EF2897">
        <w:trPr>
          <w:trHeight w:val="60"/>
        </w:trPr>
        <w:tc>
          <w:tcPr>
            <w:tcW w:w="5085" w:type="dxa"/>
            <w:tcBorders>
              <w:top w:val="dotted" w:sz="8" w:space="0" w:color="auto"/>
              <w:left w:val="dotted" w:sz="8" w:space="0" w:color="auto"/>
              <w:bottom w:val="dotted" w:sz="8" w:space="0" w:color="auto"/>
              <w:right w:val="dotted" w:sz="8" w:space="0" w:color="auto"/>
            </w:tcBorders>
            <w:vAlign w:val="bottom"/>
            <w:hideMark/>
          </w:tcPr>
          <w:p w14:paraId="6E963D9F" w14:textId="77777777" w:rsidR="00BA3023" w:rsidRPr="002F44AF" w:rsidRDefault="00BA3023" w:rsidP="00BA3023">
            <w:pPr>
              <w:spacing w:after="0" w:line="161" w:lineRule="atLeast"/>
              <w:jc w:val="right"/>
              <w:rPr>
                <w:rFonts w:ascii="Arial" w:eastAsia="Times New Roman" w:hAnsi="Arial" w:cs="Arial"/>
                <w:color w:val="000000"/>
                <w:sz w:val="14"/>
                <w:szCs w:val="14"/>
                <w:lang w:eastAsia="en-GB"/>
              </w:rPr>
            </w:pPr>
            <w:r w:rsidRPr="002F44AF">
              <w:rPr>
                <w:rFonts w:ascii="Arial" w:eastAsia="Times New Roman" w:hAnsi="Arial" w:cs="Arial"/>
                <w:color w:val="000000"/>
                <w:sz w:val="14"/>
                <w:szCs w:val="14"/>
                <w:lang w:eastAsia="en-GB"/>
              </w:rPr>
              <w:t> </w:t>
            </w:r>
          </w:p>
        </w:tc>
        <w:tc>
          <w:tcPr>
            <w:tcW w:w="628" w:type="dxa"/>
            <w:tcBorders>
              <w:top w:val="dotted" w:sz="8" w:space="0" w:color="auto"/>
              <w:left w:val="nil"/>
              <w:bottom w:val="dotted" w:sz="8" w:space="0" w:color="auto"/>
              <w:right w:val="dotted" w:sz="8" w:space="0" w:color="auto"/>
            </w:tcBorders>
            <w:vAlign w:val="bottom"/>
            <w:hideMark/>
          </w:tcPr>
          <w:p w14:paraId="14C6FADE"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Note</w:t>
            </w:r>
          </w:p>
        </w:tc>
        <w:tc>
          <w:tcPr>
            <w:tcW w:w="1214" w:type="dxa"/>
            <w:tcBorders>
              <w:top w:val="dotted" w:sz="8" w:space="0" w:color="auto"/>
              <w:left w:val="nil"/>
              <w:bottom w:val="dotted" w:sz="8" w:space="0" w:color="auto"/>
              <w:right w:val="dotted" w:sz="8" w:space="0" w:color="auto"/>
            </w:tcBorders>
            <w:hideMark/>
          </w:tcPr>
          <w:p w14:paraId="3092E51A"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Six months</w:t>
            </w:r>
          </w:p>
          <w:p w14:paraId="0E6BD0BE"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ended</w:t>
            </w:r>
          </w:p>
          <w:p w14:paraId="5933C8A3" w14:textId="4EDBA311" w:rsidR="00BA3023" w:rsidRPr="00BA3023" w:rsidRDefault="00BA3023" w:rsidP="00D24C7E">
            <w:pPr>
              <w:spacing w:after="0" w:line="161" w:lineRule="atLeast"/>
              <w:ind w:right="126"/>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31 March 202</w:t>
            </w:r>
            <w:r w:rsidR="003855EA">
              <w:rPr>
                <w:rFonts w:ascii="Arial" w:eastAsia="Times New Roman" w:hAnsi="Arial" w:cs="Arial"/>
                <w:b/>
                <w:bCs/>
                <w:color w:val="000000"/>
                <w:sz w:val="20"/>
                <w:szCs w:val="20"/>
                <w:lang w:eastAsia="en-GB"/>
              </w:rPr>
              <w:t>2</w:t>
            </w:r>
          </w:p>
          <w:p w14:paraId="32A4F739"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(Unaudited)</w:t>
            </w:r>
          </w:p>
          <w:p w14:paraId="7DAD0FA8"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b/>
                <w:bCs/>
                <w:color w:val="000000"/>
                <w:sz w:val="20"/>
                <w:szCs w:val="20"/>
                <w:lang w:eastAsia="en-GB"/>
              </w:rPr>
              <w:t>£'000</w:t>
            </w:r>
          </w:p>
        </w:tc>
        <w:tc>
          <w:tcPr>
            <w:tcW w:w="1135" w:type="dxa"/>
            <w:tcBorders>
              <w:top w:val="dotted" w:sz="8" w:space="0" w:color="auto"/>
              <w:left w:val="nil"/>
              <w:bottom w:val="dotted" w:sz="8" w:space="0" w:color="auto"/>
              <w:right w:val="nil"/>
            </w:tcBorders>
          </w:tcPr>
          <w:p w14:paraId="22C0A98B" w14:textId="77777777" w:rsidR="00BA3023" w:rsidRPr="00152B94" w:rsidRDefault="00BA3023" w:rsidP="00BA3023">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Six months</w:t>
            </w:r>
          </w:p>
          <w:p w14:paraId="5434ECF9" w14:textId="77777777" w:rsidR="00BA3023" w:rsidRPr="00152B94" w:rsidRDefault="00BA3023" w:rsidP="00BA3023">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ended</w:t>
            </w:r>
          </w:p>
          <w:p w14:paraId="0D73DE22" w14:textId="6B36CA39" w:rsidR="00BA3023" w:rsidRPr="00152B94" w:rsidRDefault="00BA3023" w:rsidP="00D24C7E">
            <w:pPr>
              <w:spacing w:after="0" w:line="161" w:lineRule="atLeast"/>
              <w:ind w:right="5"/>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31 March 202</w:t>
            </w:r>
            <w:r w:rsidR="003855EA">
              <w:rPr>
                <w:rFonts w:ascii="Arial" w:eastAsia="Times New Roman" w:hAnsi="Arial" w:cs="Arial"/>
                <w:color w:val="000000"/>
                <w:sz w:val="20"/>
                <w:szCs w:val="20"/>
                <w:lang w:eastAsia="en-GB"/>
              </w:rPr>
              <w:t>1</w:t>
            </w:r>
          </w:p>
          <w:p w14:paraId="311D7161" w14:textId="77777777" w:rsidR="00BA3023" w:rsidRPr="00152B94" w:rsidRDefault="00BA3023" w:rsidP="00BA3023">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(Unaudited)</w:t>
            </w:r>
          </w:p>
          <w:p w14:paraId="5DDCF3E2" w14:textId="51936476" w:rsidR="00BA3023" w:rsidRPr="00152B94" w:rsidRDefault="00BA3023" w:rsidP="00BA3023">
            <w:pPr>
              <w:spacing w:after="0" w:line="161" w:lineRule="atLeast"/>
              <w:jc w:val="right"/>
              <w:rPr>
                <w:rFonts w:ascii="Arial" w:eastAsia="Times New Roman" w:hAnsi="Arial" w:cs="Arial"/>
                <w:color w:val="000000"/>
                <w:sz w:val="20"/>
                <w:szCs w:val="20"/>
                <w:lang w:eastAsia="en-GB"/>
              </w:rPr>
            </w:pPr>
            <w:r w:rsidRPr="00152B94">
              <w:rPr>
                <w:rFonts w:ascii="Arial" w:eastAsia="Times New Roman" w:hAnsi="Arial" w:cs="Arial"/>
                <w:color w:val="000000"/>
                <w:sz w:val="20"/>
                <w:szCs w:val="20"/>
                <w:lang w:eastAsia="en-GB"/>
              </w:rPr>
              <w:t>£'000</w:t>
            </w:r>
          </w:p>
        </w:tc>
        <w:tc>
          <w:tcPr>
            <w:tcW w:w="1276" w:type="dxa"/>
            <w:tcBorders>
              <w:top w:val="dotted" w:sz="8" w:space="0" w:color="auto"/>
              <w:left w:val="nil"/>
              <w:bottom w:val="dotted" w:sz="8" w:space="0" w:color="auto"/>
              <w:right w:val="dotted" w:sz="8" w:space="0" w:color="auto"/>
            </w:tcBorders>
            <w:vAlign w:val="bottom"/>
            <w:hideMark/>
          </w:tcPr>
          <w:p w14:paraId="3277BB1D"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Year ended</w:t>
            </w:r>
          </w:p>
          <w:p w14:paraId="36522160"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30 September</w:t>
            </w:r>
          </w:p>
          <w:p w14:paraId="07D7318D" w14:textId="31CDA74D"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 20</w:t>
            </w:r>
            <w:r>
              <w:rPr>
                <w:rFonts w:ascii="Arial" w:eastAsia="Times New Roman" w:hAnsi="Arial" w:cs="Arial"/>
                <w:color w:val="000000"/>
                <w:sz w:val="20"/>
                <w:szCs w:val="20"/>
                <w:lang w:eastAsia="en-GB"/>
              </w:rPr>
              <w:t>2</w:t>
            </w:r>
            <w:r w:rsidR="00462B66">
              <w:rPr>
                <w:rFonts w:ascii="Arial" w:eastAsia="Times New Roman" w:hAnsi="Arial" w:cs="Arial"/>
                <w:color w:val="000000"/>
                <w:sz w:val="20"/>
                <w:szCs w:val="20"/>
                <w:lang w:eastAsia="en-GB"/>
              </w:rPr>
              <w:t>1</w:t>
            </w:r>
          </w:p>
          <w:p w14:paraId="6594A13F"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(Audited)</w:t>
            </w:r>
          </w:p>
          <w:p w14:paraId="11FAE27A" w14:textId="77777777" w:rsidR="00BA3023" w:rsidRPr="00BA3023" w:rsidRDefault="00BA3023" w:rsidP="00BA3023">
            <w:pPr>
              <w:spacing w:after="0" w:line="161" w:lineRule="atLeast"/>
              <w:jc w:val="right"/>
              <w:rPr>
                <w:rFonts w:ascii="Arial" w:eastAsia="Times New Roman" w:hAnsi="Arial" w:cs="Arial"/>
                <w:color w:val="000000"/>
                <w:sz w:val="14"/>
                <w:szCs w:val="14"/>
                <w:lang w:eastAsia="en-GB"/>
              </w:rPr>
            </w:pPr>
            <w:r w:rsidRPr="00BA3023">
              <w:rPr>
                <w:rFonts w:ascii="Arial" w:eastAsia="Times New Roman" w:hAnsi="Arial" w:cs="Arial"/>
                <w:color w:val="000000"/>
                <w:sz w:val="20"/>
                <w:szCs w:val="20"/>
                <w:lang w:eastAsia="en-GB"/>
              </w:rPr>
              <w:t>£'000</w:t>
            </w:r>
          </w:p>
        </w:tc>
      </w:tr>
      <w:tr w:rsidR="003855EA" w:rsidRPr="00BA3023" w14:paraId="0B011B37" w14:textId="77777777" w:rsidTr="00EF2897">
        <w:trPr>
          <w:trHeight w:val="57"/>
        </w:trPr>
        <w:tc>
          <w:tcPr>
            <w:tcW w:w="5085" w:type="dxa"/>
            <w:tcBorders>
              <w:top w:val="nil"/>
              <w:left w:val="dotted" w:sz="8" w:space="0" w:color="auto"/>
              <w:bottom w:val="dotted" w:sz="8" w:space="0" w:color="auto"/>
              <w:right w:val="dotted" w:sz="8" w:space="0" w:color="auto"/>
            </w:tcBorders>
            <w:vAlign w:val="bottom"/>
            <w:hideMark/>
          </w:tcPr>
          <w:p w14:paraId="07275AE2" w14:textId="77777777" w:rsidR="003855EA" w:rsidRPr="00BA3023" w:rsidRDefault="003855EA" w:rsidP="003855EA">
            <w:pPr>
              <w:spacing w:after="0" w:line="207" w:lineRule="atLeast"/>
              <w:rPr>
                <w:rFonts w:ascii="Arial" w:eastAsia="Times New Roman" w:hAnsi="Arial" w:cs="Arial"/>
                <w:b/>
                <w:bCs/>
                <w:color w:val="000000"/>
                <w:sz w:val="18"/>
                <w:szCs w:val="18"/>
                <w:lang w:eastAsia="en-GB"/>
              </w:rPr>
            </w:pPr>
            <w:r w:rsidRPr="00BA3023">
              <w:rPr>
                <w:rFonts w:ascii="Arial" w:eastAsia="Times New Roman" w:hAnsi="Arial" w:cs="Arial"/>
                <w:b/>
                <w:bCs/>
                <w:color w:val="000000"/>
                <w:sz w:val="20"/>
                <w:szCs w:val="20"/>
                <w:lang w:eastAsia="en-GB"/>
              </w:rPr>
              <w:t>Revenue</w:t>
            </w:r>
          </w:p>
        </w:tc>
        <w:tc>
          <w:tcPr>
            <w:tcW w:w="628" w:type="dxa"/>
            <w:tcBorders>
              <w:top w:val="nil"/>
              <w:left w:val="nil"/>
              <w:bottom w:val="dotted" w:sz="8" w:space="0" w:color="auto"/>
              <w:right w:val="dotted" w:sz="8" w:space="0" w:color="auto"/>
            </w:tcBorders>
            <w:vAlign w:val="bottom"/>
            <w:hideMark/>
          </w:tcPr>
          <w:p w14:paraId="0BD64AA0" w14:textId="77777777" w:rsidR="003855EA" w:rsidRPr="00BA3023" w:rsidRDefault="003855EA" w:rsidP="003855EA">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36F98A48" w14:textId="2DF6DD14" w:rsidR="003855EA" w:rsidRPr="00BA3023" w:rsidRDefault="00CD4CFE"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7</w:t>
            </w:r>
            <w:r w:rsidR="001778C0">
              <w:rPr>
                <w:rFonts w:ascii="Arial" w:eastAsia="Times New Roman" w:hAnsi="Arial" w:cs="Arial"/>
                <w:b/>
                <w:bCs/>
                <w:color w:val="000000"/>
                <w:sz w:val="20"/>
                <w:szCs w:val="20"/>
                <w:lang w:eastAsia="en-GB"/>
              </w:rPr>
              <w:t>90</w:t>
            </w:r>
          </w:p>
        </w:tc>
        <w:tc>
          <w:tcPr>
            <w:tcW w:w="1135" w:type="dxa"/>
            <w:tcBorders>
              <w:top w:val="nil"/>
              <w:left w:val="nil"/>
              <w:bottom w:val="dotted" w:sz="8" w:space="0" w:color="auto"/>
              <w:right w:val="nil"/>
            </w:tcBorders>
          </w:tcPr>
          <w:p w14:paraId="0DEC7EE9" w14:textId="2E8D0414" w:rsidR="003855EA" w:rsidRPr="00462B66" w:rsidRDefault="003855EA" w:rsidP="003855EA">
            <w:pPr>
              <w:spacing w:after="0" w:line="207" w:lineRule="atLeast"/>
              <w:jc w:val="right"/>
              <w:rPr>
                <w:rFonts w:ascii="Arial" w:eastAsia="Times New Roman" w:hAnsi="Arial" w:cs="Arial"/>
                <w:color w:val="000000"/>
                <w:sz w:val="20"/>
                <w:szCs w:val="20"/>
                <w:lang w:eastAsia="en-GB"/>
              </w:rPr>
            </w:pPr>
            <w:r w:rsidRPr="00462B66">
              <w:rPr>
                <w:rFonts w:ascii="Arial" w:eastAsia="Times New Roman" w:hAnsi="Arial" w:cs="Arial"/>
                <w:color w:val="000000"/>
                <w:sz w:val="20"/>
                <w:szCs w:val="20"/>
                <w:lang w:eastAsia="en-GB"/>
              </w:rPr>
              <w:t>868</w:t>
            </w:r>
          </w:p>
        </w:tc>
        <w:tc>
          <w:tcPr>
            <w:tcW w:w="1276" w:type="dxa"/>
            <w:tcBorders>
              <w:top w:val="nil"/>
              <w:left w:val="nil"/>
              <w:bottom w:val="dotted" w:sz="8" w:space="0" w:color="auto"/>
              <w:right w:val="dotted" w:sz="8" w:space="0" w:color="auto"/>
            </w:tcBorders>
            <w:vAlign w:val="bottom"/>
          </w:tcPr>
          <w:p w14:paraId="4F29A08D" w14:textId="40849B37" w:rsidR="003855EA" w:rsidRPr="00BA3023" w:rsidRDefault="00462B66" w:rsidP="003855EA">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2,873</w:t>
            </w:r>
          </w:p>
        </w:tc>
      </w:tr>
      <w:tr w:rsidR="003855EA" w:rsidRPr="00BA3023" w14:paraId="6A680CFC" w14:textId="77777777" w:rsidTr="00EF2897">
        <w:trPr>
          <w:trHeight w:val="60"/>
        </w:trPr>
        <w:tc>
          <w:tcPr>
            <w:tcW w:w="5085" w:type="dxa"/>
            <w:tcBorders>
              <w:top w:val="nil"/>
              <w:left w:val="dotted" w:sz="8" w:space="0" w:color="auto"/>
              <w:bottom w:val="dotted" w:sz="8" w:space="0" w:color="auto"/>
              <w:right w:val="dotted" w:sz="8" w:space="0" w:color="auto"/>
            </w:tcBorders>
            <w:vAlign w:val="bottom"/>
            <w:hideMark/>
          </w:tcPr>
          <w:p w14:paraId="447DC63A" w14:textId="77777777" w:rsidR="003855EA" w:rsidRPr="00BA3023" w:rsidRDefault="003855EA" w:rsidP="003855EA">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color w:val="000000"/>
                <w:sz w:val="20"/>
                <w:szCs w:val="20"/>
                <w:lang w:eastAsia="en-GB"/>
              </w:rPr>
              <w:t>Cost of sales</w:t>
            </w:r>
          </w:p>
        </w:tc>
        <w:tc>
          <w:tcPr>
            <w:tcW w:w="628" w:type="dxa"/>
            <w:tcBorders>
              <w:top w:val="nil"/>
              <w:left w:val="nil"/>
              <w:bottom w:val="dotted" w:sz="8" w:space="0" w:color="auto"/>
              <w:right w:val="dotted" w:sz="8" w:space="0" w:color="auto"/>
            </w:tcBorders>
            <w:vAlign w:val="bottom"/>
            <w:hideMark/>
          </w:tcPr>
          <w:p w14:paraId="282A7038" w14:textId="77777777" w:rsidR="003855EA" w:rsidRPr="00BA3023" w:rsidRDefault="003855EA" w:rsidP="003855EA">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7F1FE351" w14:textId="007BEBBB" w:rsidR="003855EA" w:rsidRPr="00BA3023" w:rsidRDefault="00CD4CFE"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w:t>
            </w:r>
            <w:r w:rsidR="001778C0">
              <w:rPr>
                <w:rFonts w:ascii="Arial" w:eastAsia="Times New Roman" w:hAnsi="Arial" w:cs="Arial"/>
                <w:b/>
                <w:bCs/>
                <w:color w:val="000000"/>
                <w:sz w:val="20"/>
                <w:szCs w:val="20"/>
                <w:lang w:eastAsia="en-GB"/>
              </w:rPr>
              <w:t>3</w:t>
            </w:r>
            <w:r>
              <w:rPr>
                <w:rFonts w:ascii="Arial" w:eastAsia="Times New Roman" w:hAnsi="Arial" w:cs="Arial"/>
                <w:b/>
                <w:bCs/>
                <w:color w:val="000000"/>
                <w:sz w:val="20"/>
                <w:szCs w:val="20"/>
                <w:lang w:eastAsia="en-GB"/>
              </w:rPr>
              <w:t>)</w:t>
            </w:r>
          </w:p>
        </w:tc>
        <w:tc>
          <w:tcPr>
            <w:tcW w:w="1135" w:type="dxa"/>
            <w:tcBorders>
              <w:top w:val="nil"/>
              <w:left w:val="nil"/>
              <w:bottom w:val="dotted" w:sz="8" w:space="0" w:color="auto"/>
              <w:right w:val="nil"/>
            </w:tcBorders>
          </w:tcPr>
          <w:p w14:paraId="15C91EF9" w14:textId="6B819B56" w:rsidR="003855EA" w:rsidRPr="00462B66" w:rsidRDefault="003855EA" w:rsidP="003855EA">
            <w:pPr>
              <w:spacing w:after="0" w:line="207" w:lineRule="atLeast"/>
              <w:jc w:val="right"/>
              <w:rPr>
                <w:rFonts w:ascii="Arial" w:eastAsia="Times New Roman" w:hAnsi="Arial" w:cs="Arial"/>
                <w:color w:val="000000"/>
                <w:sz w:val="20"/>
                <w:szCs w:val="20"/>
                <w:lang w:eastAsia="en-GB"/>
              </w:rPr>
            </w:pPr>
            <w:r w:rsidRPr="00462B66">
              <w:rPr>
                <w:rFonts w:ascii="Arial" w:eastAsia="Times New Roman" w:hAnsi="Arial" w:cs="Arial"/>
                <w:color w:val="000000"/>
                <w:sz w:val="20"/>
                <w:szCs w:val="20"/>
                <w:lang w:eastAsia="en-GB"/>
              </w:rPr>
              <w:t>(387)</w:t>
            </w:r>
          </w:p>
        </w:tc>
        <w:tc>
          <w:tcPr>
            <w:tcW w:w="1276" w:type="dxa"/>
            <w:tcBorders>
              <w:top w:val="nil"/>
              <w:left w:val="nil"/>
              <w:bottom w:val="dotted" w:sz="8" w:space="0" w:color="auto"/>
              <w:right w:val="dotted" w:sz="8" w:space="0" w:color="auto"/>
            </w:tcBorders>
            <w:vAlign w:val="bottom"/>
          </w:tcPr>
          <w:p w14:paraId="62EE48B4" w14:textId="49985366" w:rsidR="003855EA" w:rsidRPr="00BA3023" w:rsidRDefault="00462B66" w:rsidP="003855EA">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(1,359)</w:t>
            </w:r>
          </w:p>
        </w:tc>
      </w:tr>
      <w:tr w:rsidR="003855EA" w:rsidRPr="00BA3023" w14:paraId="07F7659E" w14:textId="77777777" w:rsidTr="00EF2897">
        <w:trPr>
          <w:trHeight w:val="60"/>
        </w:trPr>
        <w:tc>
          <w:tcPr>
            <w:tcW w:w="5085" w:type="dxa"/>
            <w:tcBorders>
              <w:top w:val="nil"/>
              <w:left w:val="dotted" w:sz="8" w:space="0" w:color="auto"/>
              <w:bottom w:val="dotted" w:sz="8" w:space="0" w:color="auto"/>
              <w:right w:val="dotted" w:sz="8" w:space="0" w:color="auto"/>
            </w:tcBorders>
            <w:vAlign w:val="bottom"/>
            <w:hideMark/>
          </w:tcPr>
          <w:p w14:paraId="34C71975" w14:textId="77777777" w:rsidR="003855EA" w:rsidRPr="00BA3023" w:rsidRDefault="003855EA" w:rsidP="003855EA">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b/>
                <w:bCs/>
                <w:color w:val="000000"/>
                <w:sz w:val="20"/>
                <w:szCs w:val="20"/>
                <w:lang w:eastAsia="en-GB"/>
              </w:rPr>
              <w:t>Gross profit</w:t>
            </w:r>
          </w:p>
        </w:tc>
        <w:tc>
          <w:tcPr>
            <w:tcW w:w="628" w:type="dxa"/>
            <w:tcBorders>
              <w:top w:val="nil"/>
              <w:left w:val="nil"/>
              <w:bottom w:val="dotted" w:sz="8" w:space="0" w:color="auto"/>
              <w:right w:val="dotted" w:sz="8" w:space="0" w:color="auto"/>
            </w:tcBorders>
            <w:vAlign w:val="bottom"/>
            <w:hideMark/>
          </w:tcPr>
          <w:p w14:paraId="55286549" w14:textId="77777777" w:rsidR="003855EA" w:rsidRPr="00BA3023" w:rsidRDefault="003855EA" w:rsidP="003855EA">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09C27BD0" w14:textId="72152963" w:rsidR="003855EA" w:rsidRPr="003C3875" w:rsidRDefault="00CD4CFE"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407</w:t>
            </w:r>
          </w:p>
        </w:tc>
        <w:tc>
          <w:tcPr>
            <w:tcW w:w="1135" w:type="dxa"/>
            <w:tcBorders>
              <w:top w:val="nil"/>
              <w:left w:val="nil"/>
              <w:bottom w:val="dotted" w:sz="8" w:space="0" w:color="auto"/>
              <w:right w:val="nil"/>
            </w:tcBorders>
          </w:tcPr>
          <w:p w14:paraId="637FC91A" w14:textId="06246B4A" w:rsidR="003855EA" w:rsidRPr="003C3875" w:rsidRDefault="003855EA" w:rsidP="003855EA">
            <w:pPr>
              <w:spacing w:after="0" w:line="207" w:lineRule="atLeast"/>
              <w:jc w:val="right"/>
              <w:rPr>
                <w:rFonts w:ascii="Arial" w:eastAsia="Times New Roman" w:hAnsi="Arial" w:cs="Arial"/>
                <w:b/>
                <w:bCs/>
                <w:color w:val="000000"/>
                <w:sz w:val="20"/>
                <w:szCs w:val="20"/>
                <w:lang w:eastAsia="en-GB"/>
              </w:rPr>
            </w:pPr>
            <w:r w:rsidRPr="003C3875">
              <w:rPr>
                <w:rFonts w:ascii="Arial" w:eastAsia="Times New Roman" w:hAnsi="Arial" w:cs="Arial"/>
                <w:b/>
                <w:bCs/>
                <w:color w:val="000000"/>
                <w:sz w:val="20"/>
                <w:szCs w:val="20"/>
                <w:lang w:eastAsia="en-GB"/>
              </w:rPr>
              <w:t>481</w:t>
            </w:r>
          </w:p>
        </w:tc>
        <w:tc>
          <w:tcPr>
            <w:tcW w:w="1276" w:type="dxa"/>
            <w:tcBorders>
              <w:top w:val="nil"/>
              <w:left w:val="nil"/>
              <w:bottom w:val="dotted" w:sz="8" w:space="0" w:color="auto"/>
              <w:right w:val="dotted" w:sz="8" w:space="0" w:color="auto"/>
            </w:tcBorders>
            <w:vAlign w:val="bottom"/>
          </w:tcPr>
          <w:p w14:paraId="7FE4CF73" w14:textId="76D63589" w:rsidR="003855EA" w:rsidRPr="003C3875" w:rsidRDefault="00462B66"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1,514</w:t>
            </w:r>
          </w:p>
        </w:tc>
      </w:tr>
      <w:tr w:rsidR="003855EA" w:rsidRPr="00BA3023" w14:paraId="66D202C2" w14:textId="77777777" w:rsidTr="00EF2897">
        <w:trPr>
          <w:trHeight w:val="60"/>
        </w:trPr>
        <w:tc>
          <w:tcPr>
            <w:tcW w:w="5085" w:type="dxa"/>
            <w:tcBorders>
              <w:top w:val="nil"/>
              <w:left w:val="dotted" w:sz="8" w:space="0" w:color="auto"/>
              <w:bottom w:val="dotted" w:sz="8" w:space="0" w:color="auto"/>
              <w:right w:val="dotted" w:sz="8" w:space="0" w:color="auto"/>
            </w:tcBorders>
            <w:vAlign w:val="bottom"/>
            <w:hideMark/>
          </w:tcPr>
          <w:p w14:paraId="5C7DCDEA" w14:textId="77777777" w:rsidR="003855EA" w:rsidRPr="00BA3023" w:rsidRDefault="003855EA" w:rsidP="003855EA">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color w:val="000000"/>
                <w:sz w:val="20"/>
                <w:szCs w:val="20"/>
                <w:lang w:eastAsia="en-GB"/>
              </w:rPr>
              <w:t>Operating expenses</w:t>
            </w:r>
          </w:p>
        </w:tc>
        <w:tc>
          <w:tcPr>
            <w:tcW w:w="628" w:type="dxa"/>
            <w:tcBorders>
              <w:top w:val="nil"/>
              <w:left w:val="nil"/>
              <w:bottom w:val="dotted" w:sz="8" w:space="0" w:color="auto"/>
              <w:right w:val="dotted" w:sz="8" w:space="0" w:color="auto"/>
            </w:tcBorders>
            <w:vAlign w:val="bottom"/>
            <w:hideMark/>
          </w:tcPr>
          <w:p w14:paraId="61517D65" w14:textId="77777777" w:rsidR="003855EA" w:rsidRPr="00BA3023" w:rsidRDefault="003855EA" w:rsidP="003855EA">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0E448168" w14:textId="276BD5CF" w:rsidR="003855EA" w:rsidRPr="00BA3023" w:rsidRDefault="00CD4CFE"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(752)</w:t>
            </w:r>
          </w:p>
        </w:tc>
        <w:tc>
          <w:tcPr>
            <w:tcW w:w="1135" w:type="dxa"/>
            <w:tcBorders>
              <w:top w:val="nil"/>
              <w:left w:val="nil"/>
              <w:bottom w:val="dotted" w:sz="8" w:space="0" w:color="auto"/>
              <w:right w:val="nil"/>
            </w:tcBorders>
          </w:tcPr>
          <w:p w14:paraId="5E8824EB" w14:textId="049168C3" w:rsidR="003855EA" w:rsidRPr="00152B94" w:rsidRDefault="003855EA" w:rsidP="003855EA">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(682)</w:t>
            </w:r>
          </w:p>
        </w:tc>
        <w:tc>
          <w:tcPr>
            <w:tcW w:w="1276" w:type="dxa"/>
            <w:tcBorders>
              <w:top w:val="nil"/>
              <w:left w:val="nil"/>
              <w:bottom w:val="dotted" w:sz="8" w:space="0" w:color="auto"/>
              <w:right w:val="dotted" w:sz="8" w:space="0" w:color="auto"/>
            </w:tcBorders>
            <w:vAlign w:val="bottom"/>
          </w:tcPr>
          <w:p w14:paraId="2F478BFC" w14:textId="0D9920A3" w:rsidR="003855EA" w:rsidRPr="00BA3023" w:rsidRDefault="00462B66" w:rsidP="003855EA">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(1,325)</w:t>
            </w:r>
          </w:p>
        </w:tc>
      </w:tr>
      <w:tr w:rsidR="003855EA" w:rsidRPr="00BA3023" w14:paraId="73C07D0B" w14:textId="77777777" w:rsidTr="00EF2897">
        <w:trPr>
          <w:trHeight w:val="60"/>
        </w:trPr>
        <w:tc>
          <w:tcPr>
            <w:tcW w:w="5085" w:type="dxa"/>
            <w:tcBorders>
              <w:top w:val="nil"/>
              <w:left w:val="dotted" w:sz="8" w:space="0" w:color="auto"/>
              <w:bottom w:val="dotted" w:sz="8" w:space="0" w:color="auto"/>
              <w:right w:val="dotted" w:sz="8" w:space="0" w:color="auto"/>
            </w:tcBorders>
            <w:vAlign w:val="bottom"/>
            <w:hideMark/>
          </w:tcPr>
          <w:p w14:paraId="6C16AB3B" w14:textId="19F09E44" w:rsidR="003855EA" w:rsidRPr="00BA3023" w:rsidRDefault="003855EA" w:rsidP="003855EA">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b/>
                <w:bCs/>
                <w:color w:val="000000"/>
                <w:sz w:val="20"/>
                <w:szCs w:val="20"/>
                <w:lang w:eastAsia="en-GB"/>
              </w:rPr>
              <w:t xml:space="preserve">Operating </w:t>
            </w:r>
            <w:r>
              <w:rPr>
                <w:rFonts w:ascii="Arial" w:eastAsia="Times New Roman" w:hAnsi="Arial" w:cs="Arial"/>
                <w:b/>
                <w:bCs/>
                <w:color w:val="000000"/>
                <w:sz w:val="20"/>
                <w:szCs w:val="20"/>
                <w:lang w:eastAsia="en-GB"/>
              </w:rPr>
              <w:t>(loss)/profit</w:t>
            </w:r>
          </w:p>
        </w:tc>
        <w:tc>
          <w:tcPr>
            <w:tcW w:w="628" w:type="dxa"/>
            <w:tcBorders>
              <w:top w:val="nil"/>
              <w:left w:val="nil"/>
              <w:bottom w:val="dotted" w:sz="8" w:space="0" w:color="auto"/>
              <w:right w:val="dotted" w:sz="8" w:space="0" w:color="auto"/>
            </w:tcBorders>
            <w:vAlign w:val="bottom"/>
            <w:hideMark/>
          </w:tcPr>
          <w:p w14:paraId="3CB3D691" w14:textId="77777777" w:rsidR="003855EA" w:rsidRPr="00BA3023" w:rsidRDefault="003855EA" w:rsidP="003855EA">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5A3B5450" w14:textId="30E69C5D" w:rsidR="003855EA" w:rsidRPr="003C3875" w:rsidRDefault="00CD4CFE"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(345)</w:t>
            </w:r>
          </w:p>
        </w:tc>
        <w:tc>
          <w:tcPr>
            <w:tcW w:w="1135" w:type="dxa"/>
            <w:tcBorders>
              <w:top w:val="nil"/>
              <w:left w:val="nil"/>
              <w:bottom w:val="dotted" w:sz="8" w:space="0" w:color="auto"/>
              <w:right w:val="nil"/>
            </w:tcBorders>
          </w:tcPr>
          <w:p w14:paraId="35E27648" w14:textId="3B5F6CD0" w:rsidR="003855EA" w:rsidRPr="003C3875" w:rsidRDefault="003855EA"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(201)</w:t>
            </w:r>
          </w:p>
        </w:tc>
        <w:tc>
          <w:tcPr>
            <w:tcW w:w="1276" w:type="dxa"/>
            <w:tcBorders>
              <w:top w:val="nil"/>
              <w:left w:val="nil"/>
              <w:bottom w:val="dotted" w:sz="8" w:space="0" w:color="auto"/>
              <w:right w:val="dotted" w:sz="8" w:space="0" w:color="auto"/>
            </w:tcBorders>
            <w:vAlign w:val="bottom"/>
          </w:tcPr>
          <w:p w14:paraId="7569B7E3" w14:textId="0DE27814" w:rsidR="003855EA" w:rsidRPr="003C3875" w:rsidRDefault="00462B66"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189</w:t>
            </w:r>
          </w:p>
        </w:tc>
      </w:tr>
      <w:tr w:rsidR="003855EA" w:rsidRPr="00BA3023" w14:paraId="2BFC01E9" w14:textId="77777777" w:rsidTr="00EF2897">
        <w:trPr>
          <w:trHeight w:val="60"/>
        </w:trPr>
        <w:tc>
          <w:tcPr>
            <w:tcW w:w="5085" w:type="dxa"/>
            <w:tcBorders>
              <w:top w:val="nil"/>
              <w:left w:val="dotted" w:sz="8" w:space="0" w:color="auto"/>
              <w:bottom w:val="dotted" w:sz="8" w:space="0" w:color="auto"/>
              <w:right w:val="dotted" w:sz="8" w:space="0" w:color="auto"/>
            </w:tcBorders>
            <w:vAlign w:val="bottom"/>
            <w:hideMark/>
          </w:tcPr>
          <w:p w14:paraId="3A89F952" w14:textId="77777777" w:rsidR="003855EA" w:rsidRPr="00BA3023" w:rsidRDefault="003855EA" w:rsidP="003855EA">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color w:val="000000"/>
                <w:sz w:val="20"/>
                <w:szCs w:val="20"/>
                <w:lang w:eastAsia="en-GB"/>
              </w:rPr>
              <w:t>Finance income</w:t>
            </w:r>
          </w:p>
        </w:tc>
        <w:tc>
          <w:tcPr>
            <w:tcW w:w="628" w:type="dxa"/>
            <w:tcBorders>
              <w:top w:val="nil"/>
              <w:left w:val="nil"/>
              <w:bottom w:val="dotted" w:sz="8" w:space="0" w:color="auto"/>
              <w:right w:val="dotted" w:sz="8" w:space="0" w:color="auto"/>
            </w:tcBorders>
            <w:vAlign w:val="bottom"/>
            <w:hideMark/>
          </w:tcPr>
          <w:p w14:paraId="5A2E8F09" w14:textId="77777777" w:rsidR="003855EA" w:rsidRPr="00BA3023" w:rsidRDefault="003855EA" w:rsidP="003855EA">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47323AB7" w14:textId="78E0BE47" w:rsidR="003855EA" w:rsidRPr="00BA3023" w:rsidRDefault="00CD4CFE"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c>
          <w:tcPr>
            <w:tcW w:w="1135" w:type="dxa"/>
            <w:tcBorders>
              <w:top w:val="nil"/>
              <w:left w:val="nil"/>
              <w:bottom w:val="dotted" w:sz="8" w:space="0" w:color="auto"/>
              <w:right w:val="nil"/>
            </w:tcBorders>
          </w:tcPr>
          <w:p w14:paraId="7CF0DBF0" w14:textId="73C21D08" w:rsidR="003855EA" w:rsidRPr="00152B94" w:rsidRDefault="003855EA" w:rsidP="003855EA">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c>
          <w:tcPr>
            <w:tcW w:w="1276" w:type="dxa"/>
            <w:tcBorders>
              <w:top w:val="nil"/>
              <w:left w:val="nil"/>
              <w:bottom w:val="dotted" w:sz="8" w:space="0" w:color="auto"/>
              <w:right w:val="dotted" w:sz="8" w:space="0" w:color="auto"/>
            </w:tcBorders>
            <w:vAlign w:val="bottom"/>
          </w:tcPr>
          <w:p w14:paraId="32DEE4CB" w14:textId="44255E86" w:rsidR="003855EA" w:rsidRPr="00BA3023" w:rsidRDefault="00462B66" w:rsidP="003855EA">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r w:rsidR="003855EA" w:rsidRPr="00BA3023" w14:paraId="34D8874A" w14:textId="77777777" w:rsidTr="00EF2897">
        <w:trPr>
          <w:trHeight w:val="60"/>
        </w:trPr>
        <w:tc>
          <w:tcPr>
            <w:tcW w:w="5085" w:type="dxa"/>
            <w:tcBorders>
              <w:top w:val="nil"/>
              <w:left w:val="dotted" w:sz="8" w:space="0" w:color="auto"/>
              <w:bottom w:val="dotted" w:sz="8" w:space="0" w:color="auto"/>
              <w:right w:val="dotted" w:sz="8" w:space="0" w:color="auto"/>
            </w:tcBorders>
            <w:vAlign w:val="bottom"/>
            <w:hideMark/>
          </w:tcPr>
          <w:p w14:paraId="7DE20A07" w14:textId="47E7FDA9" w:rsidR="003855EA" w:rsidRPr="00BA3023" w:rsidRDefault="003855EA" w:rsidP="003855EA">
            <w:pPr>
              <w:spacing w:after="0" w:line="207" w:lineRule="atLeas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Loss/(profit)</w:t>
            </w:r>
            <w:r w:rsidRPr="00BA3023">
              <w:rPr>
                <w:rFonts w:ascii="Arial" w:eastAsia="Times New Roman" w:hAnsi="Arial" w:cs="Arial"/>
                <w:b/>
                <w:bCs/>
                <w:color w:val="000000"/>
                <w:sz w:val="20"/>
                <w:szCs w:val="20"/>
                <w:lang w:eastAsia="en-GB"/>
              </w:rPr>
              <w:t xml:space="preserve"> before taxation</w:t>
            </w:r>
          </w:p>
        </w:tc>
        <w:tc>
          <w:tcPr>
            <w:tcW w:w="628" w:type="dxa"/>
            <w:tcBorders>
              <w:top w:val="nil"/>
              <w:left w:val="nil"/>
              <w:bottom w:val="dotted" w:sz="8" w:space="0" w:color="auto"/>
              <w:right w:val="dotted" w:sz="8" w:space="0" w:color="auto"/>
            </w:tcBorders>
            <w:vAlign w:val="bottom"/>
            <w:hideMark/>
          </w:tcPr>
          <w:p w14:paraId="63A7AC32" w14:textId="77777777" w:rsidR="003855EA" w:rsidRPr="00BA3023" w:rsidRDefault="003855EA" w:rsidP="003855EA">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3285EB88" w14:textId="7D788F6A" w:rsidR="003855EA" w:rsidRPr="003C3875" w:rsidRDefault="00CD4CFE"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(345)</w:t>
            </w:r>
          </w:p>
        </w:tc>
        <w:tc>
          <w:tcPr>
            <w:tcW w:w="1135" w:type="dxa"/>
            <w:tcBorders>
              <w:top w:val="nil"/>
              <w:left w:val="nil"/>
              <w:bottom w:val="dotted" w:sz="8" w:space="0" w:color="auto"/>
              <w:right w:val="nil"/>
            </w:tcBorders>
          </w:tcPr>
          <w:p w14:paraId="0F212A40" w14:textId="796B341A" w:rsidR="003855EA" w:rsidRPr="003C3875" w:rsidRDefault="003855EA"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(201)</w:t>
            </w:r>
          </w:p>
        </w:tc>
        <w:tc>
          <w:tcPr>
            <w:tcW w:w="1276" w:type="dxa"/>
            <w:tcBorders>
              <w:top w:val="nil"/>
              <w:left w:val="nil"/>
              <w:bottom w:val="dotted" w:sz="8" w:space="0" w:color="auto"/>
              <w:right w:val="dotted" w:sz="8" w:space="0" w:color="auto"/>
            </w:tcBorders>
            <w:vAlign w:val="bottom"/>
          </w:tcPr>
          <w:p w14:paraId="4289A054" w14:textId="3698D6D8" w:rsidR="003855EA" w:rsidRPr="003C3875" w:rsidRDefault="00462B66"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189</w:t>
            </w:r>
          </w:p>
        </w:tc>
      </w:tr>
      <w:tr w:rsidR="003855EA" w:rsidRPr="00BA3023" w14:paraId="20BB3E72" w14:textId="77777777" w:rsidTr="00EF2897">
        <w:trPr>
          <w:trHeight w:val="60"/>
        </w:trPr>
        <w:tc>
          <w:tcPr>
            <w:tcW w:w="5085" w:type="dxa"/>
            <w:tcBorders>
              <w:top w:val="nil"/>
              <w:left w:val="dotted" w:sz="8" w:space="0" w:color="auto"/>
              <w:bottom w:val="dotted" w:sz="8" w:space="0" w:color="auto"/>
              <w:right w:val="dotted" w:sz="8" w:space="0" w:color="auto"/>
            </w:tcBorders>
            <w:vAlign w:val="bottom"/>
            <w:hideMark/>
          </w:tcPr>
          <w:p w14:paraId="71CAF460" w14:textId="77777777" w:rsidR="003855EA" w:rsidRPr="00BA3023" w:rsidRDefault="003855EA" w:rsidP="003855EA">
            <w:pPr>
              <w:spacing w:after="0" w:line="207" w:lineRule="atLeast"/>
              <w:rPr>
                <w:rFonts w:ascii="Arial" w:eastAsia="Times New Roman" w:hAnsi="Arial" w:cs="Arial"/>
                <w:color w:val="000000"/>
                <w:sz w:val="18"/>
                <w:szCs w:val="18"/>
                <w:lang w:eastAsia="en-GB"/>
              </w:rPr>
            </w:pPr>
            <w:r w:rsidRPr="00BA3023">
              <w:rPr>
                <w:rFonts w:ascii="Arial" w:eastAsia="Times New Roman" w:hAnsi="Arial" w:cs="Arial"/>
                <w:color w:val="000000"/>
                <w:sz w:val="20"/>
                <w:szCs w:val="20"/>
                <w:lang w:eastAsia="en-GB"/>
              </w:rPr>
              <w:t>Taxation</w:t>
            </w:r>
          </w:p>
        </w:tc>
        <w:tc>
          <w:tcPr>
            <w:tcW w:w="628" w:type="dxa"/>
            <w:tcBorders>
              <w:top w:val="nil"/>
              <w:left w:val="nil"/>
              <w:bottom w:val="dotted" w:sz="8" w:space="0" w:color="auto"/>
              <w:right w:val="dotted" w:sz="8" w:space="0" w:color="auto"/>
            </w:tcBorders>
            <w:vAlign w:val="bottom"/>
            <w:hideMark/>
          </w:tcPr>
          <w:p w14:paraId="120E068E" w14:textId="77777777" w:rsidR="003855EA" w:rsidRPr="00BA3023" w:rsidRDefault="003855EA" w:rsidP="003855EA">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3F1E3CD8" w14:textId="1522D138" w:rsidR="003855EA" w:rsidRPr="00BA3023" w:rsidRDefault="00CD4CFE"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c>
          <w:tcPr>
            <w:tcW w:w="1135" w:type="dxa"/>
            <w:tcBorders>
              <w:top w:val="nil"/>
              <w:left w:val="nil"/>
              <w:bottom w:val="dotted" w:sz="8" w:space="0" w:color="auto"/>
              <w:right w:val="nil"/>
            </w:tcBorders>
          </w:tcPr>
          <w:p w14:paraId="74A2A93B" w14:textId="37D122BF" w:rsidR="003855EA" w:rsidRPr="00152B94" w:rsidRDefault="003855EA" w:rsidP="003855EA">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c>
          <w:tcPr>
            <w:tcW w:w="1276" w:type="dxa"/>
            <w:tcBorders>
              <w:top w:val="nil"/>
              <w:left w:val="nil"/>
              <w:bottom w:val="dotted" w:sz="8" w:space="0" w:color="auto"/>
              <w:right w:val="dotted" w:sz="8" w:space="0" w:color="auto"/>
            </w:tcBorders>
            <w:vAlign w:val="bottom"/>
          </w:tcPr>
          <w:p w14:paraId="5460CD92" w14:textId="0B5EAE35" w:rsidR="003855EA" w:rsidRPr="00BA3023" w:rsidRDefault="00462B66" w:rsidP="003855EA">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w:t>
            </w:r>
          </w:p>
        </w:tc>
      </w:tr>
      <w:tr w:rsidR="003855EA" w:rsidRPr="002F44AF" w14:paraId="0294BF00" w14:textId="77777777" w:rsidTr="00EF2897">
        <w:trPr>
          <w:trHeight w:val="60"/>
        </w:trPr>
        <w:tc>
          <w:tcPr>
            <w:tcW w:w="5085" w:type="dxa"/>
            <w:tcBorders>
              <w:top w:val="nil"/>
              <w:left w:val="dotted" w:sz="8" w:space="0" w:color="auto"/>
              <w:bottom w:val="dotted" w:sz="8" w:space="0" w:color="auto"/>
              <w:right w:val="dotted" w:sz="8" w:space="0" w:color="auto"/>
            </w:tcBorders>
            <w:vAlign w:val="bottom"/>
            <w:hideMark/>
          </w:tcPr>
          <w:p w14:paraId="4A575E2D" w14:textId="7FA81C61" w:rsidR="003855EA" w:rsidRPr="00BA3023" w:rsidRDefault="003855EA" w:rsidP="003855EA">
            <w:pPr>
              <w:spacing w:after="0" w:line="207" w:lineRule="atLeas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Loss/(profit)</w:t>
            </w:r>
            <w:r w:rsidRPr="00BA3023">
              <w:rPr>
                <w:rFonts w:ascii="Arial" w:eastAsia="Times New Roman" w:hAnsi="Arial" w:cs="Arial"/>
                <w:b/>
                <w:bCs/>
                <w:color w:val="000000"/>
                <w:sz w:val="20"/>
                <w:szCs w:val="20"/>
                <w:lang w:eastAsia="en-GB"/>
              </w:rPr>
              <w:t xml:space="preserve"> for the period</w:t>
            </w:r>
          </w:p>
        </w:tc>
        <w:tc>
          <w:tcPr>
            <w:tcW w:w="628" w:type="dxa"/>
            <w:tcBorders>
              <w:top w:val="nil"/>
              <w:left w:val="nil"/>
              <w:bottom w:val="dotted" w:sz="8" w:space="0" w:color="auto"/>
              <w:right w:val="dotted" w:sz="8" w:space="0" w:color="auto"/>
            </w:tcBorders>
            <w:vAlign w:val="bottom"/>
            <w:hideMark/>
          </w:tcPr>
          <w:p w14:paraId="14C4B81F" w14:textId="77777777" w:rsidR="003855EA" w:rsidRPr="00BA3023" w:rsidRDefault="003855EA" w:rsidP="003855EA">
            <w:pPr>
              <w:spacing w:after="0" w:line="207" w:lineRule="atLeast"/>
              <w:jc w:val="right"/>
              <w:rPr>
                <w:rFonts w:ascii="Arial" w:eastAsia="Times New Roman" w:hAnsi="Arial" w:cs="Arial"/>
                <w:color w:val="000000"/>
                <w:sz w:val="18"/>
                <w:szCs w:val="18"/>
                <w:lang w:eastAsia="en-GB"/>
              </w:rPr>
            </w:pPr>
            <w:r w:rsidRPr="00BA3023">
              <w:rPr>
                <w:rFonts w:ascii="Arial" w:eastAsia="Times New Roman" w:hAnsi="Arial" w:cs="Arial"/>
                <w:color w:val="000000"/>
                <w:sz w:val="18"/>
                <w:szCs w:val="18"/>
                <w:lang w:eastAsia="en-GB"/>
              </w:rPr>
              <w:t> </w:t>
            </w:r>
          </w:p>
        </w:tc>
        <w:tc>
          <w:tcPr>
            <w:tcW w:w="1214" w:type="dxa"/>
            <w:tcBorders>
              <w:top w:val="nil"/>
              <w:left w:val="nil"/>
              <w:bottom w:val="dotted" w:sz="8" w:space="0" w:color="auto"/>
              <w:right w:val="dotted" w:sz="8" w:space="0" w:color="auto"/>
            </w:tcBorders>
          </w:tcPr>
          <w:p w14:paraId="59D83395" w14:textId="66777342" w:rsidR="003855EA" w:rsidRPr="003C3875" w:rsidRDefault="00CD4CFE"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(345)</w:t>
            </w:r>
          </w:p>
        </w:tc>
        <w:tc>
          <w:tcPr>
            <w:tcW w:w="1135" w:type="dxa"/>
            <w:tcBorders>
              <w:top w:val="nil"/>
              <w:left w:val="nil"/>
              <w:bottom w:val="dotted" w:sz="8" w:space="0" w:color="auto"/>
              <w:right w:val="nil"/>
            </w:tcBorders>
          </w:tcPr>
          <w:p w14:paraId="6F830184" w14:textId="370E5964" w:rsidR="003855EA" w:rsidRPr="003C3875" w:rsidRDefault="003855EA"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(201)</w:t>
            </w:r>
          </w:p>
        </w:tc>
        <w:tc>
          <w:tcPr>
            <w:tcW w:w="1276" w:type="dxa"/>
            <w:tcBorders>
              <w:top w:val="nil"/>
              <w:left w:val="nil"/>
              <w:bottom w:val="dotted" w:sz="8" w:space="0" w:color="auto"/>
              <w:right w:val="dotted" w:sz="8" w:space="0" w:color="auto"/>
            </w:tcBorders>
            <w:vAlign w:val="bottom"/>
          </w:tcPr>
          <w:p w14:paraId="6905121D" w14:textId="224F5983" w:rsidR="003855EA" w:rsidRPr="003C3875" w:rsidRDefault="00462B66"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240</w:t>
            </w:r>
          </w:p>
        </w:tc>
      </w:tr>
    </w:tbl>
    <w:p w14:paraId="1F701C06" w14:textId="77777777" w:rsidR="002C5B2A" w:rsidRPr="002F44AF" w:rsidRDefault="002C5B2A" w:rsidP="002C5B2A">
      <w:pPr>
        <w:spacing w:before="40" w:line="253" w:lineRule="atLeast"/>
        <w:textAlignment w:val="center"/>
        <w:rPr>
          <w:rFonts w:ascii="Calibri" w:eastAsia="Times New Roman" w:hAnsi="Calibri" w:cs="Calibri"/>
          <w:color w:val="000000"/>
          <w:lang w:eastAsia="en-GB"/>
        </w:rPr>
      </w:pPr>
      <w:r w:rsidRPr="002F44AF">
        <w:rPr>
          <w:rFonts w:ascii="Arial" w:eastAsia="Times New Roman" w:hAnsi="Arial" w:cs="Arial"/>
          <w:color w:val="000000"/>
          <w:sz w:val="20"/>
          <w:szCs w:val="20"/>
          <w:lang w:eastAsia="en-GB"/>
        </w:rPr>
        <w:t> </w:t>
      </w:r>
    </w:p>
    <w:tbl>
      <w:tblPr>
        <w:tblW w:w="9260" w:type="dxa"/>
        <w:tblInd w:w="8" w:type="dxa"/>
        <w:tblCellMar>
          <w:left w:w="0" w:type="dxa"/>
          <w:right w:w="0" w:type="dxa"/>
        </w:tblCellMar>
        <w:tblLook w:val="04A0" w:firstRow="1" w:lastRow="0" w:firstColumn="1" w:lastColumn="0" w:noHBand="0" w:noVBand="1"/>
      </w:tblPr>
      <w:tblGrid>
        <w:gridCol w:w="5085"/>
        <w:gridCol w:w="567"/>
        <w:gridCol w:w="1276"/>
        <w:gridCol w:w="1276"/>
        <w:gridCol w:w="1056"/>
      </w:tblGrid>
      <w:tr w:rsidR="00BA3023" w:rsidRPr="00BA3023" w14:paraId="3C4C2BDF" w14:textId="77777777" w:rsidTr="003A28E9">
        <w:trPr>
          <w:trHeight w:val="60"/>
        </w:trPr>
        <w:tc>
          <w:tcPr>
            <w:tcW w:w="5085" w:type="dxa"/>
            <w:tcBorders>
              <w:top w:val="dotted" w:sz="8" w:space="0" w:color="auto"/>
              <w:left w:val="dotted" w:sz="8" w:space="0" w:color="auto"/>
              <w:bottom w:val="dotted" w:sz="8" w:space="0" w:color="auto"/>
              <w:right w:val="dotted" w:sz="8" w:space="0" w:color="auto"/>
            </w:tcBorders>
            <w:shd w:val="clear" w:color="auto" w:fill="auto"/>
            <w:vAlign w:val="bottom"/>
            <w:hideMark/>
          </w:tcPr>
          <w:p w14:paraId="2AEFCE6D" w14:textId="77777777" w:rsidR="002C5B2A" w:rsidRPr="00BA3023" w:rsidRDefault="002C5B2A" w:rsidP="00A00BE9">
            <w:pPr>
              <w:spacing w:after="0" w:line="161" w:lineRule="atLeast"/>
              <w:rPr>
                <w:rFonts w:ascii="Arial" w:eastAsia="Times New Roman" w:hAnsi="Arial" w:cs="Arial"/>
                <w:sz w:val="14"/>
                <w:szCs w:val="14"/>
                <w:lang w:eastAsia="en-GB"/>
              </w:rPr>
            </w:pPr>
            <w:r w:rsidRPr="00BA3023">
              <w:rPr>
                <w:rFonts w:ascii="Arial" w:eastAsia="Times New Roman" w:hAnsi="Arial" w:cs="Arial"/>
                <w:sz w:val="14"/>
                <w:szCs w:val="14"/>
                <w:lang w:eastAsia="en-GB"/>
              </w:rPr>
              <w:t> </w:t>
            </w:r>
          </w:p>
        </w:tc>
        <w:tc>
          <w:tcPr>
            <w:tcW w:w="567" w:type="dxa"/>
            <w:tcBorders>
              <w:top w:val="dotted" w:sz="8" w:space="0" w:color="auto"/>
              <w:left w:val="nil"/>
              <w:bottom w:val="dotted" w:sz="8" w:space="0" w:color="auto"/>
              <w:right w:val="dotted" w:sz="8" w:space="0" w:color="auto"/>
            </w:tcBorders>
            <w:shd w:val="clear" w:color="auto" w:fill="auto"/>
            <w:vAlign w:val="bottom"/>
            <w:hideMark/>
          </w:tcPr>
          <w:p w14:paraId="4CCEF793" w14:textId="77777777" w:rsidR="002C5B2A" w:rsidRPr="00BA3023" w:rsidRDefault="002C5B2A" w:rsidP="00A00BE9">
            <w:pPr>
              <w:spacing w:after="0" w:line="161" w:lineRule="atLeast"/>
              <w:rPr>
                <w:rFonts w:ascii="Arial" w:eastAsia="Times New Roman" w:hAnsi="Arial" w:cs="Arial"/>
                <w:sz w:val="14"/>
                <w:szCs w:val="14"/>
                <w:lang w:eastAsia="en-GB"/>
              </w:rPr>
            </w:pPr>
            <w:r w:rsidRPr="00BA3023">
              <w:rPr>
                <w:rFonts w:ascii="Arial" w:eastAsia="Times New Roman" w:hAnsi="Arial" w:cs="Arial"/>
                <w:sz w:val="14"/>
                <w:szCs w:val="14"/>
                <w:lang w:eastAsia="en-GB"/>
              </w:rPr>
              <w:t> </w:t>
            </w:r>
          </w:p>
        </w:tc>
        <w:tc>
          <w:tcPr>
            <w:tcW w:w="1276" w:type="dxa"/>
            <w:tcBorders>
              <w:top w:val="dotted" w:sz="8" w:space="0" w:color="auto"/>
              <w:left w:val="nil"/>
              <w:bottom w:val="dotted" w:sz="8" w:space="0" w:color="auto"/>
              <w:right w:val="dotted" w:sz="8" w:space="0" w:color="auto"/>
            </w:tcBorders>
            <w:shd w:val="clear" w:color="auto" w:fill="auto"/>
            <w:vAlign w:val="bottom"/>
            <w:hideMark/>
          </w:tcPr>
          <w:p w14:paraId="3AFCA349" w14:textId="77777777" w:rsidR="002C5B2A" w:rsidRPr="00BA3023" w:rsidRDefault="002C5B2A" w:rsidP="00A00BE9">
            <w:pPr>
              <w:spacing w:after="0" w:line="161" w:lineRule="atLeast"/>
              <w:jc w:val="right"/>
              <w:rPr>
                <w:rFonts w:ascii="Arial" w:eastAsia="Times New Roman" w:hAnsi="Arial" w:cs="Arial"/>
                <w:sz w:val="14"/>
                <w:szCs w:val="14"/>
                <w:lang w:eastAsia="en-GB"/>
              </w:rPr>
            </w:pPr>
            <w:r w:rsidRPr="00BA3023">
              <w:rPr>
                <w:rFonts w:ascii="Arial" w:eastAsia="Times New Roman" w:hAnsi="Arial" w:cs="Arial"/>
                <w:b/>
                <w:bCs/>
                <w:sz w:val="20"/>
                <w:szCs w:val="20"/>
                <w:lang w:eastAsia="en-GB"/>
              </w:rPr>
              <w:t>Pence</w:t>
            </w:r>
          </w:p>
        </w:tc>
        <w:tc>
          <w:tcPr>
            <w:tcW w:w="1276" w:type="dxa"/>
            <w:tcBorders>
              <w:top w:val="dotted" w:sz="8" w:space="0" w:color="auto"/>
              <w:left w:val="nil"/>
              <w:bottom w:val="dotted" w:sz="8" w:space="0" w:color="auto"/>
              <w:right w:val="dotted" w:sz="8" w:space="0" w:color="auto"/>
            </w:tcBorders>
            <w:shd w:val="clear" w:color="auto" w:fill="auto"/>
            <w:vAlign w:val="bottom"/>
            <w:hideMark/>
          </w:tcPr>
          <w:p w14:paraId="0910FC0B" w14:textId="77777777" w:rsidR="002C5B2A" w:rsidRPr="00BA3023" w:rsidRDefault="002C5B2A" w:rsidP="00A00BE9">
            <w:pPr>
              <w:spacing w:after="0" w:line="161" w:lineRule="atLeast"/>
              <w:jc w:val="right"/>
              <w:rPr>
                <w:rFonts w:ascii="Arial" w:eastAsia="Times New Roman" w:hAnsi="Arial" w:cs="Arial"/>
                <w:b/>
                <w:bCs/>
                <w:sz w:val="14"/>
                <w:szCs w:val="14"/>
                <w:lang w:eastAsia="en-GB"/>
              </w:rPr>
            </w:pPr>
            <w:r w:rsidRPr="00BA3023">
              <w:rPr>
                <w:rFonts w:ascii="Arial" w:eastAsia="Times New Roman" w:hAnsi="Arial" w:cs="Arial"/>
                <w:b/>
                <w:bCs/>
                <w:sz w:val="20"/>
                <w:szCs w:val="20"/>
                <w:lang w:eastAsia="en-GB"/>
              </w:rPr>
              <w:t>Pence</w:t>
            </w:r>
          </w:p>
        </w:tc>
        <w:tc>
          <w:tcPr>
            <w:tcW w:w="1056" w:type="dxa"/>
            <w:tcBorders>
              <w:top w:val="dotted" w:sz="8" w:space="0" w:color="auto"/>
              <w:left w:val="nil"/>
              <w:bottom w:val="dotted" w:sz="8" w:space="0" w:color="auto"/>
              <w:right w:val="dotted" w:sz="8" w:space="0" w:color="auto"/>
            </w:tcBorders>
            <w:shd w:val="clear" w:color="auto" w:fill="auto"/>
            <w:vAlign w:val="bottom"/>
            <w:hideMark/>
          </w:tcPr>
          <w:p w14:paraId="6BA1E146" w14:textId="77777777" w:rsidR="002C5B2A" w:rsidRPr="00BA3023" w:rsidRDefault="002C5B2A" w:rsidP="00A00BE9">
            <w:pPr>
              <w:spacing w:after="0" w:line="161" w:lineRule="atLeast"/>
              <w:jc w:val="right"/>
              <w:rPr>
                <w:rFonts w:ascii="Arial" w:eastAsia="Times New Roman" w:hAnsi="Arial" w:cs="Arial"/>
                <w:b/>
                <w:bCs/>
                <w:sz w:val="14"/>
                <w:szCs w:val="14"/>
                <w:lang w:eastAsia="en-GB"/>
              </w:rPr>
            </w:pPr>
            <w:r w:rsidRPr="00BA3023">
              <w:rPr>
                <w:rFonts w:ascii="Arial" w:eastAsia="Times New Roman" w:hAnsi="Arial" w:cs="Arial"/>
                <w:b/>
                <w:bCs/>
                <w:sz w:val="20"/>
                <w:szCs w:val="20"/>
                <w:lang w:eastAsia="en-GB"/>
              </w:rPr>
              <w:t>Pence</w:t>
            </w:r>
          </w:p>
        </w:tc>
      </w:tr>
      <w:tr w:rsidR="00BA3023" w:rsidRPr="00BA3023" w14:paraId="6A5981BF" w14:textId="77777777" w:rsidTr="003A28E9">
        <w:trPr>
          <w:trHeight w:val="60"/>
        </w:trPr>
        <w:tc>
          <w:tcPr>
            <w:tcW w:w="5085" w:type="dxa"/>
            <w:tcBorders>
              <w:top w:val="nil"/>
              <w:left w:val="dotted" w:sz="8" w:space="0" w:color="auto"/>
              <w:bottom w:val="dotted" w:sz="8" w:space="0" w:color="auto"/>
              <w:right w:val="dotted" w:sz="8" w:space="0" w:color="auto"/>
            </w:tcBorders>
            <w:shd w:val="clear" w:color="auto" w:fill="auto"/>
            <w:vAlign w:val="bottom"/>
            <w:hideMark/>
          </w:tcPr>
          <w:p w14:paraId="513BE426" w14:textId="77777777" w:rsidR="002C5B2A" w:rsidRPr="00BA3023" w:rsidRDefault="002C5B2A" w:rsidP="00A00BE9">
            <w:pPr>
              <w:spacing w:after="0" w:line="207" w:lineRule="atLeast"/>
              <w:rPr>
                <w:rFonts w:ascii="Arial" w:eastAsia="Times New Roman" w:hAnsi="Arial" w:cs="Arial"/>
                <w:sz w:val="18"/>
                <w:szCs w:val="18"/>
                <w:lang w:eastAsia="en-GB"/>
              </w:rPr>
            </w:pPr>
            <w:r w:rsidRPr="00BA3023">
              <w:rPr>
                <w:rFonts w:ascii="Arial" w:eastAsia="Times New Roman" w:hAnsi="Arial" w:cs="Arial"/>
                <w:b/>
                <w:bCs/>
                <w:sz w:val="20"/>
                <w:szCs w:val="20"/>
                <w:lang w:eastAsia="en-GB"/>
              </w:rPr>
              <w:t>Earnings per share</w:t>
            </w:r>
          </w:p>
        </w:tc>
        <w:tc>
          <w:tcPr>
            <w:tcW w:w="567" w:type="dxa"/>
            <w:tcBorders>
              <w:top w:val="nil"/>
              <w:left w:val="nil"/>
              <w:bottom w:val="dotted" w:sz="8" w:space="0" w:color="auto"/>
              <w:right w:val="dotted" w:sz="8" w:space="0" w:color="auto"/>
            </w:tcBorders>
            <w:shd w:val="clear" w:color="auto" w:fill="auto"/>
            <w:vAlign w:val="bottom"/>
            <w:hideMark/>
          </w:tcPr>
          <w:p w14:paraId="01AC735B" w14:textId="77777777" w:rsidR="002C5B2A" w:rsidRPr="00BA3023" w:rsidRDefault="002C5B2A" w:rsidP="00A00BE9">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c>
          <w:tcPr>
            <w:tcW w:w="1276" w:type="dxa"/>
            <w:tcBorders>
              <w:top w:val="nil"/>
              <w:left w:val="nil"/>
              <w:bottom w:val="dotted" w:sz="8" w:space="0" w:color="auto"/>
              <w:right w:val="dotted" w:sz="8" w:space="0" w:color="auto"/>
            </w:tcBorders>
            <w:shd w:val="clear" w:color="auto" w:fill="auto"/>
            <w:vAlign w:val="bottom"/>
            <w:hideMark/>
          </w:tcPr>
          <w:p w14:paraId="4FD20C9A" w14:textId="77777777" w:rsidR="002C5B2A" w:rsidRPr="00BA3023" w:rsidRDefault="002C5B2A" w:rsidP="00A00BE9">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c>
          <w:tcPr>
            <w:tcW w:w="1276" w:type="dxa"/>
            <w:tcBorders>
              <w:top w:val="nil"/>
              <w:left w:val="nil"/>
              <w:bottom w:val="dotted" w:sz="8" w:space="0" w:color="auto"/>
              <w:right w:val="dotted" w:sz="8" w:space="0" w:color="auto"/>
            </w:tcBorders>
            <w:shd w:val="clear" w:color="auto" w:fill="auto"/>
            <w:vAlign w:val="bottom"/>
            <w:hideMark/>
          </w:tcPr>
          <w:p w14:paraId="483A3FAC" w14:textId="77777777" w:rsidR="002C5B2A" w:rsidRPr="00BA3023" w:rsidRDefault="002C5B2A" w:rsidP="00A00BE9">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c>
          <w:tcPr>
            <w:tcW w:w="1056" w:type="dxa"/>
            <w:tcBorders>
              <w:top w:val="nil"/>
              <w:left w:val="nil"/>
              <w:bottom w:val="dotted" w:sz="8" w:space="0" w:color="auto"/>
              <w:right w:val="dotted" w:sz="8" w:space="0" w:color="auto"/>
            </w:tcBorders>
            <w:shd w:val="clear" w:color="auto" w:fill="auto"/>
            <w:vAlign w:val="bottom"/>
            <w:hideMark/>
          </w:tcPr>
          <w:p w14:paraId="7DA97E26" w14:textId="77777777" w:rsidR="002C5B2A" w:rsidRPr="00BA3023" w:rsidRDefault="002C5B2A" w:rsidP="00A00BE9">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r>
      <w:tr w:rsidR="003855EA" w:rsidRPr="00BA3023" w14:paraId="68548130" w14:textId="77777777" w:rsidTr="003A28E9">
        <w:trPr>
          <w:trHeight w:val="60"/>
        </w:trPr>
        <w:tc>
          <w:tcPr>
            <w:tcW w:w="5085" w:type="dxa"/>
            <w:tcBorders>
              <w:top w:val="nil"/>
              <w:left w:val="dotted" w:sz="8" w:space="0" w:color="auto"/>
              <w:bottom w:val="dotted" w:sz="8" w:space="0" w:color="auto"/>
              <w:right w:val="dotted" w:sz="8" w:space="0" w:color="auto"/>
            </w:tcBorders>
            <w:shd w:val="clear" w:color="auto" w:fill="auto"/>
            <w:vAlign w:val="bottom"/>
            <w:hideMark/>
          </w:tcPr>
          <w:p w14:paraId="06D365AA" w14:textId="77777777" w:rsidR="003855EA" w:rsidRPr="00BA3023" w:rsidRDefault="003855EA" w:rsidP="003855EA">
            <w:pPr>
              <w:spacing w:after="0" w:line="207" w:lineRule="atLeast"/>
              <w:rPr>
                <w:rFonts w:ascii="Arial" w:eastAsia="Times New Roman" w:hAnsi="Arial" w:cs="Arial"/>
                <w:sz w:val="18"/>
                <w:szCs w:val="18"/>
                <w:lang w:eastAsia="en-GB"/>
              </w:rPr>
            </w:pPr>
            <w:r w:rsidRPr="00BA3023">
              <w:rPr>
                <w:rFonts w:ascii="Arial" w:eastAsia="Times New Roman" w:hAnsi="Arial" w:cs="Arial"/>
                <w:sz w:val="20"/>
                <w:szCs w:val="20"/>
                <w:lang w:eastAsia="en-GB"/>
              </w:rPr>
              <w:t>Basic profit per share</w:t>
            </w:r>
          </w:p>
        </w:tc>
        <w:tc>
          <w:tcPr>
            <w:tcW w:w="567" w:type="dxa"/>
            <w:tcBorders>
              <w:top w:val="nil"/>
              <w:left w:val="nil"/>
              <w:bottom w:val="dotted" w:sz="8" w:space="0" w:color="auto"/>
              <w:right w:val="dotted" w:sz="8" w:space="0" w:color="auto"/>
            </w:tcBorders>
            <w:shd w:val="clear" w:color="auto" w:fill="auto"/>
            <w:vAlign w:val="bottom"/>
            <w:hideMark/>
          </w:tcPr>
          <w:p w14:paraId="76EFE619" w14:textId="77777777" w:rsidR="003855EA" w:rsidRPr="00BA3023" w:rsidRDefault="003855EA" w:rsidP="003855EA">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20"/>
                <w:szCs w:val="20"/>
                <w:lang w:eastAsia="en-GB"/>
              </w:rPr>
              <w:t>[3]</w:t>
            </w:r>
          </w:p>
        </w:tc>
        <w:tc>
          <w:tcPr>
            <w:tcW w:w="1276" w:type="dxa"/>
            <w:tcBorders>
              <w:top w:val="nil"/>
              <w:left w:val="nil"/>
              <w:bottom w:val="dotted" w:sz="8" w:space="0" w:color="auto"/>
              <w:right w:val="dotted" w:sz="8" w:space="0" w:color="auto"/>
            </w:tcBorders>
            <w:shd w:val="clear" w:color="auto" w:fill="auto"/>
            <w:vAlign w:val="bottom"/>
          </w:tcPr>
          <w:p w14:paraId="6C5B47E3" w14:textId="74F57C20" w:rsidR="003855EA" w:rsidRPr="00BA3023" w:rsidRDefault="00D24C7E" w:rsidP="003855EA">
            <w:pPr>
              <w:spacing w:after="0" w:line="207" w:lineRule="atLeast"/>
              <w:jc w:val="right"/>
              <w:rPr>
                <w:rFonts w:ascii="Arial" w:eastAsia="Times New Roman" w:hAnsi="Arial" w:cs="Arial"/>
                <w:sz w:val="20"/>
                <w:szCs w:val="20"/>
                <w:lang w:eastAsia="en-GB"/>
              </w:rPr>
            </w:pPr>
            <w:r>
              <w:rPr>
                <w:rFonts w:ascii="Arial" w:eastAsia="Times New Roman" w:hAnsi="Arial" w:cs="Arial"/>
                <w:sz w:val="20"/>
                <w:szCs w:val="20"/>
                <w:lang w:eastAsia="en-GB"/>
              </w:rPr>
              <w:t>(0.25)</w:t>
            </w:r>
          </w:p>
        </w:tc>
        <w:tc>
          <w:tcPr>
            <w:tcW w:w="1276" w:type="dxa"/>
            <w:tcBorders>
              <w:top w:val="nil"/>
              <w:left w:val="nil"/>
              <w:bottom w:val="dotted" w:sz="8" w:space="0" w:color="auto"/>
              <w:right w:val="dotted" w:sz="8" w:space="0" w:color="auto"/>
            </w:tcBorders>
            <w:shd w:val="clear" w:color="auto" w:fill="auto"/>
            <w:vAlign w:val="bottom"/>
            <w:hideMark/>
          </w:tcPr>
          <w:p w14:paraId="04E1C495" w14:textId="481E1A3E" w:rsidR="003855EA" w:rsidRPr="00BA3023" w:rsidRDefault="003855EA" w:rsidP="003855EA">
            <w:pPr>
              <w:spacing w:after="0" w:line="207" w:lineRule="atLeast"/>
              <w:jc w:val="right"/>
              <w:rPr>
                <w:rFonts w:ascii="Arial" w:eastAsia="Times New Roman" w:hAnsi="Arial" w:cs="Arial"/>
                <w:sz w:val="20"/>
                <w:szCs w:val="20"/>
                <w:lang w:eastAsia="en-GB"/>
              </w:rPr>
            </w:pPr>
            <w:r>
              <w:rPr>
                <w:rFonts w:ascii="Arial" w:eastAsia="Times New Roman" w:hAnsi="Arial" w:cs="Arial"/>
                <w:sz w:val="20"/>
                <w:szCs w:val="20"/>
                <w:lang w:eastAsia="en-GB"/>
              </w:rPr>
              <w:t>(0.15)</w:t>
            </w:r>
          </w:p>
        </w:tc>
        <w:tc>
          <w:tcPr>
            <w:tcW w:w="1056" w:type="dxa"/>
            <w:tcBorders>
              <w:top w:val="nil"/>
              <w:left w:val="nil"/>
              <w:bottom w:val="dotted" w:sz="8" w:space="0" w:color="auto"/>
              <w:right w:val="dotted" w:sz="8" w:space="0" w:color="auto"/>
            </w:tcBorders>
            <w:shd w:val="clear" w:color="auto" w:fill="auto"/>
            <w:vAlign w:val="bottom"/>
          </w:tcPr>
          <w:p w14:paraId="643F3802" w14:textId="275C3859" w:rsidR="003855EA" w:rsidRPr="00D24C7E" w:rsidRDefault="00462B66" w:rsidP="003855EA">
            <w:pPr>
              <w:spacing w:after="0" w:line="207" w:lineRule="atLeast"/>
              <w:jc w:val="right"/>
              <w:rPr>
                <w:rFonts w:ascii="Arial" w:eastAsia="Times New Roman" w:hAnsi="Arial" w:cs="Arial"/>
                <w:color w:val="000000"/>
                <w:sz w:val="20"/>
                <w:szCs w:val="20"/>
                <w:lang w:eastAsia="en-GB"/>
              </w:rPr>
            </w:pPr>
            <w:r w:rsidRPr="00D24C7E">
              <w:rPr>
                <w:rFonts w:ascii="Arial" w:eastAsia="Times New Roman" w:hAnsi="Arial" w:cs="Arial"/>
                <w:color w:val="000000"/>
                <w:sz w:val="20"/>
                <w:szCs w:val="20"/>
                <w:lang w:eastAsia="en-GB"/>
              </w:rPr>
              <w:t>0.18</w:t>
            </w:r>
          </w:p>
        </w:tc>
      </w:tr>
      <w:tr w:rsidR="003855EA" w:rsidRPr="00BA3023" w14:paraId="125DC393" w14:textId="77777777" w:rsidTr="003A28E9">
        <w:trPr>
          <w:trHeight w:val="60"/>
        </w:trPr>
        <w:tc>
          <w:tcPr>
            <w:tcW w:w="5085" w:type="dxa"/>
            <w:tcBorders>
              <w:top w:val="nil"/>
              <w:left w:val="dotted" w:sz="8" w:space="0" w:color="auto"/>
              <w:bottom w:val="dotted" w:sz="8" w:space="0" w:color="auto"/>
              <w:right w:val="dotted" w:sz="8" w:space="0" w:color="auto"/>
            </w:tcBorders>
            <w:shd w:val="clear" w:color="auto" w:fill="auto"/>
            <w:vAlign w:val="bottom"/>
            <w:hideMark/>
          </w:tcPr>
          <w:p w14:paraId="0CECEDD3" w14:textId="77777777" w:rsidR="003855EA" w:rsidRPr="00BA3023" w:rsidRDefault="003855EA" w:rsidP="003855EA">
            <w:pPr>
              <w:spacing w:after="0" w:line="207" w:lineRule="atLeast"/>
              <w:rPr>
                <w:rFonts w:ascii="Arial" w:eastAsia="Times New Roman" w:hAnsi="Arial" w:cs="Arial"/>
                <w:sz w:val="18"/>
                <w:szCs w:val="18"/>
                <w:lang w:eastAsia="en-GB"/>
              </w:rPr>
            </w:pPr>
            <w:r w:rsidRPr="00BA3023">
              <w:rPr>
                <w:rFonts w:ascii="Arial" w:eastAsia="Times New Roman" w:hAnsi="Arial" w:cs="Arial"/>
                <w:sz w:val="20"/>
                <w:szCs w:val="20"/>
                <w:lang w:eastAsia="en-GB"/>
              </w:rPr>
              <w:t>Diluted profit per share</w:t>
            </w:r>
          </w:p>
        </w:tc>
        <w:tc>
          <w:tcPr>
            <w:tcW w:w="567" w:type="dxa"/>
            <w:tcBorders>
              <w:top w:val="nil"/>
              <w:left w:val="nil"/>
              <w:bottom w:val="dotted" w:sz="8" w:space="0" w:color="auto"/>
              <w:right w:val="dotted" w:sz="8" w:space="0" w:color="auto"/>
            </w:tcBorders>
            <w:shd w:val="clear" w:color="auto" w:fill="auto"/>
            <w:vAlign w:val="bottom"/>
            <w:hideMark/>
          </w:tcPr>
          <w:p w14:paraId="786C73E4" w14:textId="77777777" w:rsidR="003855EA" w:rsidRPr="00BA3023" w:rsidRDefault="003855EA" w:rsidP="003855EA">
            <w:pPr>
              <w:spacing w:after="0" w:line="207" w:lineRule="atLeast"/>
              <w:jc w:val="right"/>
              <w:rPr>
                <w:rFonts w:ascii="Arial" w:eastAsia="Times New Roman" w:hAnsi="Arial" w:cs="Arial"/>
                <w:sz w:val="18"/>
                <w:szCs w:val="18"/>
                <w:lang w:eastAsia="en-GB"/>
              </w:rPr>
            </w:pPr>
            <w:r w:rsidRPr="00BA3023">
              <w:rPr>
                <w:rFonts w:ascii="Arial" w:eastAsia="Times New Roman" w:hAnsi="Arial" w:cs="Arial"/>
                <w:sz w:val="18"/>
                <w:szCs w:val="18"/>
                <w:lang w:eastAsia="en-GB"/>
              </w:rPr>
              <w:t> </w:t>
            </w:r>
          </w:p>
        </w:tc>
        <w:tc>
          <w:tcPr>
            <w:tcW w:w="1276" w:type="dxa"/>
            <w:tcBorders>
              <w:top w:val="nil"/>
              <w:left w:val="nil"/>
              <w:bottom w:val="dotted" w:sz="8" w:space="0" w:color="auto"/>
              <w:right w:val="dotted" w:sz="8" w:space="0" w:color="auto"/>
            </w:tcBorders>
            <w:shd w:val="clear" w:color="auto" w:fill="auto"/>
            <w:vAlign w:val="bottom"/>
          </w:tcPr>
          <w:p w14:paraId="73A6F387" w14:textId="6758DC77" w:rsidR="003855EA" w:rsidRPr="00BA3023" w:rsidRDefault="00D24C7E" w:rsidP="003855EA">
            <w:pPr>
              <w:spacing w:after="0" w:line="207" w:lineRule="atLeast"/>
              <w:jc w:val="right"/>
              <w:rPr>
                <w:rFonts w:ascii="Arial" w:eastAsia="Times New Roman" w:hAnsi="Arial" w:cs="Arial"/>
                <w:sz w:val="20"/>
                <w:szCs w:val="20"/>
                <w:lang w:eastAsia="en-GB"/>
              </w:rPr>
            </w:pPr>
            <w:r>
              <w:rPr>
                <w:rFonts w:ascii="Arial" w:eastAsia="Times New Roman" w:hAnsi="Arial" w:cs="Arial"/>
                <w:sz w:val="20"/>
                <w:szCs w:val="20"/>
                <w:lang w:eastAsia="en-GB"/>
              </w:rPr>
              <w:t>(0.25)</w:t>
            </w:r>
          </w:p>
        </w:tc>
        <w:tc>
          <w:tcPr>
            <w:tcW w:w="1276" w:type="dxa"/>
            <w:tcBorders>
              <w:top w:val="nil"/>
              <w:left w:val="nil"/>
              <w:bottom w:val="dotted" w:sz="8" w:space="0" w:color="auto"/>
              <w:right w:val="dotted" w:sz="8" w:space="0" w:color="auto"/>
            </w:tcBorders>
            <w:shd w:val="clear" w:color="auto" w:fill="auto"/>
            <w:vAlign w:val="bottom"/>
            <w:hideMark/>
          </w:tcPr>
          <w:p w14:paraId="66D96C11" w14:textId="077DA7C2" w:rsidR="003855EA" w:rsidRPr="00BA3023" w:rsidRDefault="003855EA" w:rsidP="003855EA">
            <w:pPr>
              <w:spacing w:after="0" w:line="207" w:lineRule="atLeast"/>
              <w:jc w:val="right"/>
              <w:rPr>
                <w:rFonts w:ascii="Arial" w:eastAsia="Times New Roman" w:hAnsi="Arial" w:cs="Arial"/>
                <w:sz w:val="20"/>
                <w:szCs w:val="20"/>
                <w:lang w:eastAsia="en-GB"/>
              </w:rPr>
            </w:pPr>
            <w:r>
              <w:rPr>
                <w:rFonts w:ascii="Arial" w:eastAsia="Times New Roman" w:hAnsi="Arial" w:cs="Arial"/>
                <w:sz w:val="20"/>
                <w:szCs w:val="20"/>
                <w:lang w:eastAsia="en-GB"/>
              </w:rPr>
              <w:t>(0.15)</w:t>
            </w:r>
          </w:p>
        </w:tc>
        <w:tc>
          <w:tcPr>
            <w:tcW w:w="1056" w:type="dxa"/>
            <w:tcBorders>
              <w:top w:val="nil"/>
              <w:left w:val="nil"/>
              <w:bottom w:val="dotted" w:sz="8" w:space="0" w:color="auto"/>
              <w:right w:val="dotted" w:sz="8" w:space="0" w:color="auto"/>
            </w:tcBorders>
            <w:shd w:val="clear" w:color="auto" w:fill="auto"/>
            <w:vAlign w:val="bottom"/>
          </w:tcPr>
          <w:p w14:paraId="3E13A2EA" w14:textId="037D1394" w:rsidR="003855EA" w:rsidRPr="00D24C7E" w:rsidRDefault="00462B66" w:rsidP="00462B66">
            <w:pPr>
              <w:spacing w:after="0" w:line="207" w:lineRule="atLeast"/>
              <w:jc w:val="right"/>
              <w:rPr>
                <w:rFonts w:ascii="Arial" w:eastAsia="Times New Roman" w:hAnsi="Arial" w:cs="Arial"/>
                <w:color w:val="000000"/>
                <w:sz w:val="20"/>
                <w:szCs w:val="20"/>
                <w:lang w:eastAsia="en-GB"/>
              </w:rPr>
            </w:pPr>
            <w:r w:rsidRPr="00D24C7E">
              <w:rPr>
                <w:rFonts w:ascii="Arial" w:eastAsia="Times New Roman" w:hAnsi="Arial" w:cs="Arial"/>
                <w:color w:val="000000"/>
                <w:sz w:val="20"/>
                <w:szCs w:val="20"/>
                <w:lang w:eastAsia="en-GB"/>
              </w:rPr>
              <w:t>0.17</w:t>
            </w:r>
          </w:p>
        </w:tc>
      </w:tr>
    </w:tbl>
    <w:p w14:paraId="3224ACB4"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4402481D" w14:textId="6165E469" w:rsidR="000016EB" w:rsidRDefault="002C5B2A" w:rsidP="002C5B2A">
      <w:pPr>
        <w:spacing w:after="0" w:line="253" w:lineRule="atLeast"/>
        <w:rPr>
          <w:rFonts w:ascii="Arial" w:eastAsia="Times New Roman" w:hAnsi="Arial" w:cs="Arial"/>
          <w:color w:val="000000"/>
          <w:sz w:val="20"/>
          <w:szCs w:val="20"/>
          <w:lang w:eastAsia="en-GB"/>
        </w:rPr>
      </w:pPr>
      <w:r w:rsidRPr="002F44AF">
        <w:rPr>
          <w:rFonts w:ascii="Arial" w:eastAsia="Times New Roman" w:hAnsi="Arial" w:cs="Arial"/>
          <w:color w:val="000000"/>
          <w:sz w:val="20"/>
          <w:szCs w:val="20"/>
          <w:lang w:eastAsia="en-GB"/>
        </w:rPr>
        <w:t> </w:t>
      </w:r>
    </w:p>
    <w:p w14:paraId="1CF86830" w14:textId="48EFE63F" w:rsidR="000016EB" w:rsidRDefault="000016EB" w:rsidP="00D24C7E">
      <w:pPr>
        <w:tabs>
          <w:tab w:val="left" w:pos="7797"/>
        </w:tabs>
        <w:spacing w:after="160" w:line="259"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14:paraId="26954865" w14:textId="77777777" w:rsidR="002C5B2A" w:rsidRPr="000016EB" w:rsidRDefault="002C5B2A" w:rsidP="002C5B2A">
      <w:pPr>
        <w:spacing w:after="0" w:line="253" w:lineRule="atLeast"/>
        <w:rPr>
          <w:rFonts w:ascii="Calibri" w:eastAsia="Times New Roman" w:hAnsi="Calibri" w:cs="Calibri"/>
          <w:b/>
          <w:bCs/>
          <w:color w:val="000000"/>
          <w:lang w:eastAsia="en-GB"/>
        </w:rPr>
      </w:pPr>
      <w:r w:rsidRPr="000016EB">
        <w:rPr>
          <w:rFonts w:ascii="Arial" w:eastAsia="Times New Roman" w:hAnsi="Arial" w:cs="Arial"/>
          <w:b/>
          <w:bCs/>
          <w:color w:val="000000"/>
          <w:sz w:val="20"/>
          <w:szCs w:val="20"/>
          <w:lang w:eastAsia="en-GB"/>
        </w:rPr>
        <w:lastRenderedPageBreak/>
        <w:t>Consolidated statement of changes in equity</w:t>
      </w:r>
    </w:p>
    <w:p w14:paraId="48070596" w14:textId="0D0540C9" w:rsidR="002C5B2A" w:rsidRPr="000016EB" w:rsidRDefault="002C5B2A" w:rsidP="002C5B2A">
      <w:pPr>
        <w:spacing w:after="0" w:line="240" w:lineRule="atLeast"/>
        <w:rPr>
          <w:rFonts w:ascii="Arial" w:eastAsia="Times New Roman" w:hAnsi="Arial" w:cs="Arial"/>
          <w:b/>
          <w:bCs/>
          <w:color w:val="000000"/>
          <w:sz w:val="32"/>
          <w:szCs w:val="32"/>
          <w:lang w:eastAsia="en-GB"/>
        </w:rPr>
      </w:pPr>
      <w:r w:rsidRPr="000016EB">
        <w:rPr>
          <w:rFonts w:ascii="Arial" w:eastAsia="Times New Roman" w:hAnsi="Arial" w:cs="Arial"/>
          <w:b/>
          <w:bCs/>
          <w:color w:val="000000"/>
          <w:sz w:val="20"/>
          <w:szCs w:val="20"/>
          <w:lang w:eastAsia="en-GB"/>
        </w:rPr>
        <w:t>For the six months ended 31 March 20</w:t>
      </w:r>
      <w:r w:rsidR="009413A0">
        <w:rPr>
          <w:rFonts w:ascii="Arial" w:eastAsia="Times New Roman" w:hAnsi="Arial" w:cs="Arial"/>
          <w:b/>
          <w:bCs/>
          <w:color w:val="000000"/>
          <w:sz w:val="20"/>
          <w:szCs w:val="20"/>
          <w:lang w:eastAsia="en-GB"/>
        </w:rPr>
        <w:t>2</w:t>
      </w:r>
      <w:r w:rsidR="003855EA">
        <w:rPr>
          <w:rFonts w:ascii="Arial" w:eastAsia="Times New Roman" w:hAnsi="Arial" w:cs="Arial"/>
          <w:b/>
          <w:bCs/>
          <w:color w:val="000000"/>
          <w:sz w:val="20"/>
          <w:szCs w:val="20"/>
          <w:lang w:eastAsia="en-GB"/>
        </w:rPr>
        <w:t>2</w:t>
      </w:r>
    </w:p>
    <w:p w14:paraId="506E1C7D"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tbl>
      <w:tblPr>
        <w:tblW w:w="9621" w:type="dxa"/>
        <w:tblInd w:w="8" w:type="dxa"/>
        <w:tblCellMar>
          <w:left w:w="0" w:type="dxa"/>
          <w:right w:w="0" w:type="dxa"/>
        </w:tblCellMar>
        <w:tblLook w:val="04A0" w:firstRow="1" w:lastRow="0" w:firstColumn="1" w:lastColumn="0" w:noHBand="0" w:noVBand="1"/>
      </w:tblPr>
      <w:tblGrid>
        <w:gridCol w:w="5352"/>
        <w:gridCol w:w="814"/>
        <w:gridCol w:w="1131"/>
        <w:gridCol w:w="1152"/>
        <w:gridCol w:w="1172"/>
      </w:tblGrid>
      <w:tr w:rsidR="00152B94" w:rsidRPr="00152B94" w14:paraId="5AB81BE4" w14:textId="77777777" w:rsidTr="00152B94">
        <w:trPr>
          <w:trHeight w:val="60"/>
        </w:trPr>
        <w:tc>
          <w:tcPr>
            <w:tcW w:w="5369" w:type="dxa"/>
            <w:tcBorders>
              <w:top w:val="dotted" w:sz="8" w:space="0" w:color="auto"/>
              <w:left w:val="dotted" w:sz="8" w:space="0" w:color="auto"/>
              <w:bottom w:val="dotted" w:sz="8" w:space="0" w:color="auto"/>
              <w:right w:val="dotted" w:sz="8" w:space="0" w:color="auto"/>
            </w:tcBorders>
            <w:shd w:val="clear" w:color="auto" w:fill="auto"/>
            <w:vAlign w:val="bottom"/>
            <w:hideMark/>
          </w:tcPr>
          <w:p w14:paraId="2B47CED0" w14:textId="77777777" w:rsidR="00152B94" w:rsidRPr="002F44AF" w:rsidRDefault="00152B94" w:rsidP="00152B94">
            <w:pPr>
              <w:spacing w:after="0" w:line="161" w:lineRule="atLeast"/>
              <w:rPr>
                <w:rFonts w:ascii="Arial" w:eastAsia="Times New Roman" w:hAnsi="Arial" w:cs="Arial"/>
                <w:color w:val="000000"/>
                <w:sz w:val="14"/>
                <w:szCs w:val="14"/>
                <w:lang w:eastAsia="en-GB"/>
              </w:rPr>
            </w:pPr>
            <w:r w:rsidRPr="002F44AF">
              <w:rPr>
                <w:rFonts w:ascii="Arial" w:eastAsia="Times New Roman" w:hAnsi="Arial" w:cs="Arial"/>
                <w:color w:val="000000"/>
                <w:sz w:val="14"/>
                <w:szCs w:val="14"/>
                <w:lang w:eastAsia="en-GB"/>
              </w:rPr>
              <w:t> </w:t>
            </w:r>
          </w:p>
        </w:tc>
        <w:tc>
          <w:tcPr>
            <w:tcW w:w="817" w:type="dxa"/>
            <w:tcBorders>
              <w:top w:val="dotted" w:sz="8" w:space="0" w:color="auto"/>
              <w:left w:val="nil"/>
              <w:bottom w:val="dotted" w:sz="8" w:space="0" w:color="auto"/>
              <w:right w:val="dotted" w:sz="8" w:space="0" w:color="auto"/>
            </w:tcBorders>
            <w:shd w:val="clear" w:color="auto" w:fill="auto"/>
            <w:vAlign w:val="bottom"/>
            <w:hideMark/>
          </w:tcPr>
          <w:p w14:paraId="7CD5CE83" w14:textId="77777777" w:rsidR="00152B94" w:rsidRPr="00152B94" w:rsidRDefault="00152B94" w:rsidP="00152B94">
            <w:pPr>
              <w:spacing w:after="0" w:line="161" w:lineRule="atLeast"/>
              <w:ind w:left="-1033"/>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Note</w:t>
            </w:r>
          </w:p>
        </w:tc>
        <w:tc>
          <w:tcPr>
            <w:tcW w:w="1131" w:type="dxa"/>
            <w:tcBorders>
              <w:top w:val="dotted" w:sz="8" w:space="0" w:color="auto"/>
              <w:left w:val="nil"/>
              <w:bottom w:val="dotted" w:sz="8" w:space="0" w:color="auto"/>
              <w:right w:val="dotted" w:sz="8" w:space="0" w:color="auto"/>
            </w:tcBorders>
            <w:shd w:val="clear" w:color="auto" w:fill="auto"/>
            <w:hideMark/>
          </w:tcPr>
          <w:p w14:paraId="31606656"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Six months</w:t>
            </w:r>
          </w:p>
          <w:p w14:paraId="5A42B6B3"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ended</w:t>
            </w:r>
          </w:p>
          <w:p w14:paraId="4C67D97A" w14:textId="6F826EE0"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31 March 202</w:t>
            </w:r>
            <w:r w:rsidR="003855EA">
              <w:rPr>
                <w:rFonts w:ascii="Arial" w:eastAsia="Times New Roman" w:hAnsi="Arial" w:cs="Arial"/>
                <w:b/>
                <w:bCs/>
                <w:color w:val="000000"/>
                <w:sz w:val="20"/>
                <w:szCs w:val="20"/>
                <w:lang w:eastAsia="en-GB"/>
              </w:rPr>
              <w:t>2</w:t>
            </w:r>
          </w:p>
          <w:p w14:paraId="470EFF1A"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(Unaudited)</w:t>
            </w:r>
          </w:p>
          <w:p w14:paraId="255D63DC"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£'000</w:t>
            </w:r>
          </w:p>
        </w:tc>
        <w:tc>
          <w:tcPr>
            <w:tcW w:w="1131" w:type="dxa"/>
            <w:tcBorders>
              <w:top w:val="dotted" w:sz="8" w:space="0" w:color="auto"/>
              <w:left w:val="nil"/>
              <w:bottom w:val="dotted" w:sz="8" w:space="0" w:color="auto"/>
              <w:right w:val="nil"/>
            </w:tcBorders>
          </w:tcPr>
          <w:p w14:paraId="49DC9270"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Six months</w:t>
            </w:r>
          </w:p>
          <w:p w14:paraId="2DEABF7C"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ended</w:t>
            </w:r>
          </w:p>
          <w:p w14:paraId="21C0C7FF" w14:textId="4B947428"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31 March 202</w:t>
            </w:r>
            <w:r w:rsidR="003855EA">
              <w:rPr>
                <w:rFonts w:ascii="Arial" w:eastAsia="Times New Roman" w:hAnsi="Arial" w:cs="Arial"/>
                <w:color w:val="000000"/>
                <w:sz w:val="20"/>
                <w:szCs w:val="20"/>
                <w:lang w:eastAsia="en-GB"/>
              </w:rPr>
              <w:t>1</w:t>
            </w:r>
          </w:p>
          <w:p w14:paraId="7BC55434" w14:textId="77777777" w:rsidR="00152B94" w:rsidRPr="00152B94" w:rsidRDefault="00152B94" w:rsidP="00152B94">
            <w:pPr>
              <w:spacing w:after="0" w:line="161" w:lineRule="atLeast"/>
              <w:ind w:right="96"/>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(Unaudited)</w:t>
            </w:r>
          </w:p>
          <w:p w14:paraId="655F3377" w14:textId="5C3C5589" w:rsidR="00152B94" w:rsidRPr="00152B94" w:rsidRDefault="00152B94" w:rsidP="00152B94">
            <w:pPr>
              <w:spacing w:after="0" w:line="161" w:lineRule="atLeast"/>
              <w:jc w:val="right"/>
              <w:rPr>
                <w:rFonts w:ascii="Arial" w:eastAsia="Times New Roman" w:hAnsi="Arial" w:cs="Arial"/>
                <w:color w:val="000000"/>
                <w:sz w:val="20"/>
                <w:szCs w:val="20"/>
                <w:lang w:eastAsia="en-GB"/>
              </w:rPr>
            </w:pPr>
            <w:r w:rsidRPr="00152B94">
              <w:rPr>
                <w:rFonts w:ascii="Arial" w:eastAsia="Times New Roman" w:hAnsi="Arial" w:cs="Arial"/>
                <w:color w:val="000000"/>
                <w:sz w:val="20"/>
                <w:szCs w:val="20"/>
                <w:lang w:eastAsia="en-GB"/>
              </w:rPr>
              <w:t>£'000</w:t>
            </w:r>
          </w:p>
        </w:tc>
        <w:tc>
          <w:tcPr>
            <w:tcW w:w="1173" w:type="dxa"/>
            <w:tcBorders>
              <w:top w:val="dotted" w:sz="8" w:space="0" w:color="auto"/>
              <w:left w:val="nil"/>
              <w:bottom w:val="dotted" w:sz="8" w:space="0" w:color="auto"/>
              <w:right w:val="dotted" w:sz="8" w:space="0" w:color="auto"/>
            </w:tcBorders>
            <w:shd w:val="clear" w:color="auto" w:fill="auto"/>
            <w:vAlign w:val="bottom"/>
            <w:hideMark/>
          </w:tcPr>
          <w:p w14:paraId="74B41E81"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Year ended</w:t>
            </w:r>
          </w:p>
          <w:p w14:paraId="3D0343FC"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30 September</w:t>
            </w:r>
          </w:p>
          <w:p w14:paraId="4153DD9C" w14:textId="41B1765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 20</w:t>
            </w:r>
            <w:r>
              <w:rPr>
                <w:rFonts w:ascii="Arial" w:eastAsia="Times New Roman" w:hAnsi="Arial" w:cs="Arial"/>
                <w:color w:val="000000"/>
                <w:sz w:val="20"/>
                <w:szCs w:val="20"/>
                <w:lang w:eastAsia="en-GB"/>
              </w:rPr>
              <w:t>2</w:t>
            </w:r>
            <w:r w:rsidR="003855EA">
              <w:rPr>
                <w:rFonts w:ascii="Arial" w:eastAsia="Times New Roman" w:hAnsi="Arial" w:cs="Arial"/>
                <w:color w:val="000000"/>
                <w:sz w:val="20"/>
                <w:szCs w:val="20"/>
                <w:lang w:eastAsia="en-GB"/>
              </w:rPr>
              <w:t>1</w:t>
            </w:r>
          </w:p>
          <w:p w14:paraId="496972F4"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(Audited)</w:t>
            </w:r>
          </w:p>
          <w:p w14:paraId="6D6BC6D7"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£'000</w:t>
            </w:r>
          </w:p>
        </w:tc>
      </w:tr>
      <w:tr w:rsidR="003855EA" w:rsidRPr="00152B94" w14:paraId="2DB5A07E" w14:textId="77777777" w:rsidTr="00152B94">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6412E858" w14:textId="77777777" w:rsidR="003855EA" w:rsidRPr="00152B94" w:rsidRDefault="003855EA" w:rsidP="003855EA">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Opening equity shareholders' funds</w:t>
            </w:r>
          </w:p>
        </w:tc>
        <w:tc>
          <w:tcPr>
            <w:tcW w:w="817" w:type="dxa"/>
            <w:tcBorders>
              <w:top w:val="nil"/>
              <w:left w:val="nil"/>
              <w:bottom w:val="dotted" w:sz="8" w:space="0" w:color="auto"/>
              <w:right w:val="dotted" w:sz="8" w:space="0" w:color="auto"/>
            </w:tcBorders>
            <w:shd w:val="clear" w:color="auto" w:fill="auto"/>
            <w:vAlign w:val="bottom"/>
            <w:hideMark/>
          </w:tcPr>
          <w:p w14:paraId="44687519" w14:textId="77777777" w:rsidR="003855EA" w:rsidRPr="00152B94" w:rsidRDefault="003855EA" w:rsidP="003855EA">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766126F5" w14:textId="01FD6B8D" w:rsidR="003855EA" w:rsidRPr="00B82BE9" w:rsidRDefault="00FA1463"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1,649</w:t>
            </w:r>
          </w:p>
        </w:tc>
        <w:tc>
          <w:tcPr>
            <w:tcW w:w="1131" w:type="dxa"/>
            <w:tcBorders>
              <w:top w:val="nil"/>
              <w:left w:val="nil"/>
              <w:bottom w:val="dotted" w:sz="8" w:space="0" w:color="auto"/>
              <w:right w:val="nil"/>
            </w:tcBorders>
          </w:tcPr>
          <w:p w14:paraId="73300434" w14:textId="77CE4FEA" w:rsidR="003855EA" w:rsidRPr="003855EA" w:rsidRDefault="003855EA" w:rsidP="003855EA">
            <w:pPr>
              <w:spacing w:after="0" w:line="207" w:lineRule="atLeast"/>
              <w:jc w:val="right"/>
              <w:rPr>
                <w:rFonts w:ascii="Arial" w:eastAsia="Times New Roman" w:hAnsi="Arial" w:cs="Arial"/>
                <w:color w:val="000000"/>
                <w:sz w:val="20"/>
                <w:szCs w:val="20"/>
                <w:lang w:eastAsia="en-GB"/>
              </w:rPr>
            </w:pPr>
            <w:r w:rsidRPr="003855EA">
              <w:rPr>
                <w:rFonts w:ascii="Arial" w:eastAsia="Times New Roman" w:hAnsi="Arial" w:cs="Arial"/>
                <w:color w:val="000000"/>
                <w:sz w:val="20"/>
                <w:szCs w:val="20"/>
                <w:lang w:eastAsia="en-GB"/>
              </w:rPr>
              <w:t>1,409</w:t>
            </w:r>
          </w:p>
        </w:tc>
        <w:tc>
          <w:tcPr>
            <w:tcW w:w="1173" w:type="dxa"/>
            <w:tcBorders>
              <w:top w:val="nil"/>
              <w:left w:val="nil"/>
              <w:bottom w:val="dotted" w:sz="8" w:space="0" w:color="auto"/>
              <w:right w:val="dotted" w:sz="8" w:space="0" w:color="auto"/>
            </w:tcBorders>
            <w:shd w:val="clear" w:color="auto" w:fill="auto"/>
            <w:vAlign w:val="bottom"/>
          </w:tcPr>
          <w:p w14:paraId="5F251C25" w14:textId="3800BF09" w:rsidR="003855EA" w:rsidRPr="00B82BE9" w:rsidRDefault="00FA1463" w:rsidP="003855EA">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1,409</w:t>
            </w:r>
          </w:p>
        </w:tc>
      </w:tr>
      <w:tr w:rsidR="00C43454" w:rsidRPr="00152B94" w14:paraId="08D1D817" w14:textId="77777777" w:rsidTr="00152B94">
        <w:trPr>
          <w:trHeight w:val="60"/>
        </w:trPr>
        <w:tc>
          <w:tcPr>
            <w:tcW w:w="5369" w:type="dxa"/>
            <w:tcBorders>
              <w:top w:val="nil"/>
              <w:left w:val="dotted" w:sz="8" w:space="0" w:color="auto"/>
              <w:bottom w:val="dotted" w:sz="8" w:space="0" w:color="auto"/>
              <w:right w:val="dotted" w:sz="8" w:space="0" w:color="auto"/>
            </w:tcBorders>
            <w:shd w:val="clear" w:color="auto" w:fill="auto"/>
            <w:vAlign w:val="bottom"/>
          </w:tcPr>
          <w:p w14:paraId="3958CCC8" w14:textId="081804C4" w:rsidR="00C43454" w:rsidRDefault="00C43454" w:rsidP="003855EA">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Shares Issued</w:t>
            </w:r>
          </w:p>
        </w:tc>
        <w:tc>
          <w:tcPr>
            <w:tcW w:w="817" w:type="dxa"/>
            <w:tcBorders>
              <w:top w:val="nil"/>
              <w:left w:val="nil"/>
              <w:bottom w:val="dotted" w:sz="8" w:space="0" w:color="auto"/>
              <w:right w:val="dotted" w:sz="8" w:space="0" w:color="auto"/>
            </w:tcBorders>
            <w:shd w:val="clear" w:color="auto" w:fill="auto"/>
            <w:vAlign w:val="bottom"/>
          </w:tcPr>
          <w:p w14:paraId="1EB4EA60" w14:textId="77777777" w:rsidR="00C43454" w:rsidRPr="00152B94" w:rsidRDefault="00C43454" w:rsidP="003855EA">
            <w:pPr>
              <w:spacing w:after="0" w:line="207" w:lineRule="atLeast"/>
              <w:jc w:val="center"/>
              <w:rPr>
                <w:rFonts w:ascii="Arial" w:eastAsia="Times New Roman" w:hAnsi="Arial" w:cs="Arial"/>
                <w:color w:val="000000"/>
                <w:sz w:val="18"/>
                <w:szCs w:val="18"/>
                <w:lang w:eastAsia="en-GB"/>
              </w:rPr>
            </w:pPr>
          </w:p>
        </w:tc>
        <w:tc>
          <w:tcPr>
            <w:tcW w:w="1131" w:type="dxa"/>
            <w:tcBorders>
              <w:top w:val="nil"/>
              <w:left w:val="nil"/>
              <w:bottom w:val="dotted" w:sz="8" w:space="0" w:color="auto"/>
              <w:right w:val="dotted" w:sz="8" w:space="0" w:color="auto"/>
            </w:tcBorders>
            <w:shd w:val="clear" w:color="auto" w:fill="auto"/>
          </w:tcPr>
          <w:p w14:paraId="1D9036ED" w14:textId="47978DA7" w:rsidR="00C43454" w:rsidRDefault="00C43454"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10</w:t>
            </w:r>
          </w:p>
        </w:tc>
        <w:tc>
          <w:tcPr>
            <w:tcW w:w="1131" w:type="dxa"/>
            <w:tcBorders>
              <w:top w:val="nil"/>
              <w:left w:val="nil"/>
              <w:bottom w:val="dotted" w:sz="8" w:space="0" w:color="auto"/>
              <w:right w:val="nil"/>
            </w:tcBorders>
          </w:tcPr>
          <w:p w14:paraId="4097D19A" w14:textId="1C222220" w:rsidR="00C43454" w:rsidRPr="003855EA" w:rsidRDefault="00C43454" w:rsidP="003855EA">
            <w:pPr>
              <w:spacing w:after="0" w:line="207" w:lineRule="atLeast"/>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c>
          <w:tcPr>
            <w:tcW w:w="1173" w:type="dxa"/>
            <w:tcBorders>
              <w:top w:val="nil"/>
              <w:left w:val="nil"/>
              <w:bottom w:val="dotted" w:sz="8" w:space="0" w:color="auto"/>
              <w:right w:val="dotted" w:sz="8" w:space="0" w:color="auto"/>
            </w:tcBorders>
            <w:shd w:val="clear" w:color="auto" w:fill="auto"/>
            <w:vAlign w:val="bottom"/>
          </w:tcPr>
          <w:p w14:paraId="1B50E0EE" w14:textId="6483F306" w:rsidR="00C43454" w:rsidRDefault="00C43454" w:rsidP="003855EA">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t>
            </w:r>
          </w:p>
        </w:tc>
      </w:tr>
      <w:tr w:rsidR="003855EA" w:rsidRPr="00152B94" w14:paraId="51564C69" w14:textId="77777777" w:rsidTr="00152B94">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01468DEA" w14:textId="06CCA706" w:rsidR="003855EA" w:rsidRPr="00152B94" w:rsidRDefault="003855EA" w:rsidP="003855EA">
            <w:pPr>
              <w:spacing w:after="0" w:line="207" w:lineRule="atLeast"/>
              <w:rPr>
                <w:rFonts w:ascii="Arial" w:eastAsia="Times New Roman" w:hAnsi="Arial" w:cs="Arial"/>
                <w:color w:val="000000"/>
                <w:sz w:val="18"/>
                <w:szCs w:val="18"/>
                <w:lang w:eastAsia="en-GB"/>
              </w:rPr>
            </w:pPr>
            <w:r>
              <w:rPr>
                <w:rFonts w:ascii="Arial" w:eastAsia="Times New Roman" w:hAnsi="Arial" w:cs="Arial"/>
                <w:color w:val="000000"/>
                <w:sz w:val="20"/>
                <w:szCs w:val="20"/>
                <w:lang w:eastAsia="en-GB"/>
              </w:rPr>
              <w:t>(Loss)/profit</w:t>
            </w:r>
            <w:r w:rsidRPr="00152B94">
              <w:rPr>
                <w:rFonts w:ascii="Arial" w:eastAsia="Times New Roman" w:hAnsi="Arial" w:cs="Arial"/>
                <w:color w:val="000000"/>
                <w:sz w:val="20"/>
                <w:szCs w:val="20"/>
                <w:lang w:eastAsia="en-GB"/>
              </w:rPr>
              <w:t xml:space="preserve"> attributable to equity shareholders</w:t>
            </w:r>
          </w:p>
        </w:tc>
        <w:tc>
          <w:tcPr>
            <w:tcW w:w="817" w:type="dxa"/>
            <w:tcBorders>
              <w:top w:val="nil"/>
              <w:left w:val="nil"/>
              <w:bottom w:val="dotted" w:sz="8" w:space="0" w:color="auto"/>
              <w:right w:val="dotted" w:sz="8" w:space="0" w:color="auto"/>
            </w:tcBorders>
            <w:shd w:val="clear" w:color="auto" w:fill="auto"/>
            <w:vAlign w:val="bottom"/>
            <w:hideMark/>
          </w:tcPr>
          <w:p w14:paraId="0ABF05E1" w14:textId="77777777" w:rsidR="003855EA" w:rsidRPr="00152B94" w:rsidRDefault="003855EA" w:rsidP="003855EA">
            <w:pPr>
              <w:spacing w:after="0" w:line="207" w:lineRule="atLeast"/>
              <w:jc w:val="center"/>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5D51413C" w14:textId="64E303CA" w:rsidR="003855EA" w:rsidRPr="00B82BE9" w:rsidRDefault="00EF2897"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(345)</w:t>
            </w:r>
          </w:p>
        </w:tc>
        <w:tc>
          <w:tcPr>
            <w:tcW w:w="1131" w:type="dxa"/>
            <w:tcBorders>
              <w:top w:val="nil"/>
              <w:left w:val="nil"/>
              <w:bottom w:val="dotted" w:sz="8" w:space="0" w:color="auto"/>
              <w:right w:val="nil"/>
            </w:tcBorders>
          </w:tcPr>
          <w:p w14:paraId="5B4047DA" w14:textId="3C1DD83C" w:rsidR="003855EA" w:rsidRPr="003855EA" w:rsidRDefault="003855EA" w:rsidP="003855EA">
            <w:pPr>
              <w:spacing w:after="0" w:line="207" w:lineRule="atLeast"/>
              <w:jc w:val="right"/>
              <w:rPr>
                <w:rFonts w:ascii="Arial" w:eastAsia="Times New Roman" w:hAnsi="Arial" w:cs="Arial"/>
                <w:color w:val="000000"/>
                <w:sz w:val="20"/>
                <w:szCs w:val="20"/>
                <w:lang w:eastAsia="en-GB"/>
              </w:rPr>
            </w:pPr>
            <w:r w:rsidRPr="003855EA">
              <w:rPr>
                <w:rFonts w:ascii="Arial" w:eastAsia="Times New Roman" w:hAnsi="Arial" w:cs="Arial"/>
                <w:color w:val="000000"/>
                <w:sz w:val="20"/>
                <w:szCs w:val="20"/>
                <w:lang w:eastAsia="en-GB"/>
              </w:rPr>
              <w:t>(201)</w:t>
            </w:r>
          </w:p>
        </w:tc>
        <w:tc>
          <w:tcPr>
            <w:tcW w:w="1173" w:type="dxa"/>
            <w:tcBorders>
              <w:top w:val="nil"/>
              <w:left w:val="nil"/>
              <w:bottom w:val="dotted" w:sz="8" w:space="0" w:color="auto"/>
              <w:right w:val="dotted" w:sz="8" w:space="0" w:color="auto"/>
            </w:tcBorders>
            <w:shd w:val="clear" w:color="auto" w:fill="auto"/>
            <w:vAlign w:val="bottom"/>
          </w:tcPr>
          <w:p w14:paraId="724161EA" w14:textId="6196C364" w:rsidR="003855EA" w:rsidRPr="00B82BE9" w:rsidRDefault="00FA1463" w:rsidP="003855EA">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240</w:t>
            </w:r>
          </w:p>
        </w:tc>
      </w:tr>
      <w:tr w:rsidR="003855EA" w:rsidRPr="002F44AF" w14:paraId="1A30B4E3" w14:textId="77777777" w:rsidTr="00152B94">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76BE4277" w14:textId="77777777" w:rsidR="003855EA" w:rsidRPr="00152B94" w:rsidRDefault="003855EA" w:rsidP="003855EA">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Closing equity shareholders' funds</w:t>
            </w:r>
          </w:p>
        </w:tc>
        <w:tc>
          <w:tcPr>
            <w:tcW w:w="817" w:type="dxa"/>
            <w:tcBorders>
              <w:top w:val="nil"/>
              <w:left w:val="nil"/>
              <w:bottom w:val="dotted" w:sz="8" w:space="0" w:color="auto"/>
              <w:right w:val="dotted" w:sz="8" w:space="0" w:color="auto"/>
            </w:tcBorders>
            <w:shd w:val="clear" w:color="auto" w:fill="auto"/>
            <w:vAlign w:val="bottom"/>
            <w:hideMark/>
          </w:tcPr>
          <w:p w14:paraId="7C08C5C4" w14:textId="77777777" w:rsidR="003855EA" w:rsidRPr="00152B94" w:rsidRDefault="003855EA" w:rsidP="003855EA">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7797D7D3" w14:textId="20335276" w:rsidR="003855EA" w:rsidRPr="00B82BE9" w:rsidRDefault="00EF2897"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1,3</w:t>
            </w:r>
            <w:r w:rsidR="00C43454">
              <w:rPr>
                <w:rFonts w:ascii="Arial" w:eastAsia="Times New Roman" w:hAnsi="Arial" w:cs="Arial"/>
                <w:b/>
                <w:bCs/>
                <w:color w:val="000000"/>
                <w:sz w:val="20"/>
                <w:szCs w:val="20"/>
                <w:lang w:eastAsia="en-GB"/>
              </w:rPr>
              <w:t>1</w:t>
            </w:r>
            <w:r>
              <w:rPr>
                <w:rFonts w:ascii="Arial" w:eastAsia="Times New Roman" w:hAnsi="Arial" w:cs="Arial"/>
                <w:b/>
                <w:bCs/>
                <w:color w:val="000000"/>
                <w:sz w:val="20"/>
                <w:szCs w:val="20"/>
                <w:lang w:eastAsia="en-GB"/>
              </w:rPr>
              <w:t>4</w:t>
            </w:r>
          </w:p>
        </w:tc>
        <w:tc>
          <w:tcPr>
            <w:tcW w:w="1131" w:type="dxa"/>
            <w:tcBorders>
              <w:top w:val="nil"/>
              <w:left w:val="nil"/>
              <w:bottom w:val="dotted" w:sz="8" w:space="0" w:color="auto"/>
              <w:right w:val="nil"/>
            </w:tcBorders>
          </w:tcPr>
          <w:p w14:paraId="5237B869" w14:textId="11A32BE2" w:rsidR="003855EA" w:rsidRPr="00B82BE9" w:rsidRDefault="003855EA" w:rsidP="003855EA">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1,208</w:t>
            </w:r>
          </w:p>
        </w:tc>
        <w:tc>
          <w:tcPr>
            <w:tcW w:w="1173" w:type="dxa"/>
            <w:tcBorders>
              <w:top w:val="nil"/>
              <w:left w:val="nil"/>
              <w:bottom w:val="dotted" w:sz="8" w:space="0" w:color="auto"/>
              <w:right w:val="dotted" w:sz="8" w:space="0" w:color="auto"/>
            </w:tcBorders>
            <w:shd w:val="clear" w:color="auto" w:fill="auto"/>
            <w:vAlign w:val="bottom"/>
          </w:tcPr>
          <w:p w14:paraId="04004A58" w14:textId="30FFDBE1" w:rsidR="003855EA" w:rsidRPr="00B82BE9" w:rsidRDefault="00FA1463" w:rsidP="003855EA">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1,649</w:t>
            </w:r>
          </w:p>
        </w:tc>
      </w:tr>
    </w:tbl>
    <w:p w14:paraId="599834AA" w14:textId="77777777" w:rsidR="002C5B2A" w:rsidRPr="002F44AF" w:rsidRDefault="002C5B2A" w:rsidP="002C5B2A">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F44AF">
        <w:rPr>
          <w:rFonts w:ascii="Times New Roman" w:eastAsia="Times New Roman" w:hAnsi="Times New Roman" w:cs="Times New Roman"/>
          <w:color w:val="000000"/>
          <w:sz w:val="27"/>
          <w:szCs w:val="27"/>
          <w:lang w:eastAsia="en-GB"/>
        </w:rPr>
        <w:t> </w:t>
      </w:r>
    </w:p>
    <w:p w14:paraId="3F29538C" w14:textId="2A2C14A7" w:rsidR="000016EB" w:rsidRDefault="002C5B2A" w:rsidP="002C5B2A">
      <w:pPr>
        <w:spacing w:after="0" w:line="240" w:lineRule="atLeast"/>
        <w:rPr>
          <w:rFonts w:ascii="Arial" w:eastAsia="Times New Roman" w:hAnsi="Arial" w:cs="Arial"/>
          <w:color w:val="000000"/>
          <w:sz w:val="20"/>
          <w:szCs w:val="20"/>
          <w:lang w:eastAsia="en-GB"/>
        </w:rPr>
      </w:pPr>
      <w:r w:rsidRPr="002F44AF">
        <w:rPr>
          <w:rFonts w:ascii="Arial" w:eastAsia="Times New Roman" w:hAnsi="Arial" w:cs="Arial"/>
          <w:color w:val="000000"/>
          <w:sz w:val="20"/>
          <w:szCs w:val="20"/>
          <w:lang w:eastAsia="en-GB"/>
        </w:rPr>
        <w:t> </w:t>
      </w:r>
    </w:p>
    <w:p w14:paraId="78212301" w14:textId="77777777" w:rsidR="000016EB" w:rsidRDefault="000016EB">
      <w:pPr>
        <w:spacing w:after="160" w:line="259"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14:paraId="2F76EA04" w14:textId="77777777" w:rsidR="002C5B2A" w:rsidRPr="000016EB" w:rsidRDefault="002C5B2A" w:rsidP="002C5B2A">
      <w:pPr>
        <w:spacing w:after="0" w:line="240" w:lineRule="atLeast"/>
        <w:rPr>
          <w:rFonts w:ascii="Arial" w:eastAsia="Times New Roman" w:hAnsi="Arial" w:cs="Arial"/>
          <w:b/>
          <w:bCs/>
          <w:color w:val="000000"/>
          <w:sz w:val="32"/>
          <w:szCs w:val="32"/>
          <w:lang w:eastAsia="en-GB"/>
        </w:rPr>
      </w:pPr>
      <w:r w:rsidRPr="000016EB">
        <w:rPr>
          <w:rFonts w:ascii="Arial" w:eastAsia="Times New Roman" w:hAnsi="Arial" w:cs="Arial"/>
          <w:b/>
          <w:bCs/>
          <w:color w:val="000000"/>
          <w:sz w:val="20"/>
          <w:szCs w:val="20"/>
          <w:lang w:eastAsia="en-GB"/>
        </w:rPr>
        <w:lastRenderedPageBreak/>
        <w:t>Consolidated statement of financial position</w:t>
      </w:r>
    </w:p>
    <w:p w14:paraId="7FFC7237" w14:textId="4FDD6483" w:rsidR="002C5B2A" w:rsidRPr="000016EB" w:rsidRDefault="002C5B2A" w:rsidP="002C5B2A">
      <w:pPr>
        <w:spacing w:after="0" w:line="240" w:lineRule="atLeast"/>
        <w:rPr>
          <w:rFonts w:ascii="Arial" w:eastAsia="Times New Roman" w:hAnsi="Arial" w:cs="Arial"/>
          <w:b/>
          <w:bCs/>
          <w:color w:val="000000"/>
          <w:sz w:val="32"/>
          <w:szCs w:val="32"/>
          <w:lang w:eastAsia="en-GB"/>
        </w:rPr>
      </w:pPr>
      <w:r w:rsidRPr="000016EB">
        <w:rPr>
          <w:rFonts w:ascii="Arial" w:eastAsia="Times New Roman" w:hAnsi="Arial" w:cs="Arial"/>
          <w:b/>
          <w:bCs/>
          <w:color w:val="000000"/>
          <w:sz w:val="20"/>
          <w:szCs w:val="20"/>
          <w:lang w:eastAsia="en-GB"/>
        </w:rPr>
        <w:t xml:space="preserve">As </w:t>
      </w:r>
      <w:proofErr w:type="gramStart"/>
      <w:r w:rsidRPr="000016EB">
        <w:rPr>
          <w:rFonts w:ascii="Arial" w:eastAsia="Times New Roman" w:hAnsi="Arial" w:cs="Arial"/>
          <w:b/>
          <w:bCs/>
          <w:color w:val="000000"/>
          <w:sz w:val="20"/>
          <w:szCs w:val="20"/>
          <w:lang w:eastAsia="en-GB"/>
        </w:rPr>
        <w:t>at</w:t>
      </w:r>
      <w:proofErr w:type="gramEnd"/>
      <w:r w:rsidRPr="000016EB">
        <w:rPr>
          <w:rFonts w:ascii="Arial" w:eastAsia="Times New Roman" w:hAnsi="Arial" w:cs="Arial"/>
          <w:b/>
          <w:bCs/>
          <w:color w:val="000000"/>
          <w:sz w:val="20"/>
          <w:szCs w:val="20"/>
          <w:lang w:eastAsia="en-GB"/>
        </w:rPr>
        <w:t xml:space="preserve"> 31 March 20</w:t>
      </w:r>
      <w:r w:rsidR="00FA1031">
        <w:rPr>
          <w:rFonts w:ascii="Arial" w:eastAsia="Times New Roman" w:hAnsi="Arial" w:cs="Arial"/>
          <w:b/>
          <w:bCs/>
          <w:color w:val="000000"/>
          <w:sz w:val="20"/>
          <w:szCs w:val="20"/>
          <w:lang w:eastAsia="en-GB"/>
        </w:rPr>
        <w:t>2</w:t>
      </w:r>
      <w:r w:rsidR="009B6E21">
        <w:rPr>
          <w:rFonts w:ascii="Arial" w:eastAsia="Times New Roman" w:hAnsi="Arial" w:cs="Arial"/>
          <w:b/>
          <w:bCs/>
          <w:color w:val="000000"/>
          <w:sz w:val="20"/>
          <w:szCs w:val="20"/>
          <w:lang w:eastAsia="en-GB"/>
        </w:rPr>
        <w:t>2</w:t>
      </w:r>
    </w:p>
    <w:p w14:paraId="12B6B539"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tbl>
      <w:tblPr>
        <w:tblW w:w="8913" w:type="dxa"/>
        <w:tblInd w:w="8" w:type="dxa"/>
        <w:tblCellMar>
          <w:left w:w="0" w:type="dxa"/>
          <w:right w:w="0" w:type="dxa"/>
        </w:tblCellMar>
        <w:tblLook w:val="04A0" w:firstRow="1" w:lastRow="0" w:firstColumn="1" w:lastColumn="0" w:noHBand="0" w:noVBand="1"/>
      </w:tblPr>
      <w:tblGrid>
        <w:gridCol w:w="5369"/>
        <w:gridCol w:w="1131"/>
        <w:gridCol w:w="1131"/>
        <w:gridCol w:w="1282"/>
      </w:tblGrid>
      <w:tr w:rsidR="00152B94" w:rsidRPr="00152B94" w14:paraId="27241B6A" w14:textId="77777777" w:rsidTr="00123119">
        <w:trPr>
          <w:trHeight w:val="60"/>
        </w:trPr>
        <w:tc>
          <w:tcPr>
            <w:tcW w:w="5369" w:type="dxa"/>
            <w:tcBorders>
              <w:top w:val="dotted" w:sz="8" w:space="0" w:color="auto"/>
              <w:left w:val="dotted" w:sz="8" w:space="0" w:color="auto"/>
              <w:bottom w:val="dotted" w:sz="8" w:space="0" w:color="auto"/>
              <w:right w:val="dotted" w:sz="8" w:space="0" w:color="auto"/>
            </w:tcBorders>
            <w:shd w:val="clear" w:color="auto" w:fill="auto"/>
            <w:vAlign w:val="bottom"/>
            <w:hideMark/>
          </w:tcPr>
          <w:p w14:paraId="06530E52" w14:textId="77777777" w:rsidR="00152B94" w:rsidRPr="002F44AF" w:rsidRDefault="00152B94" w:rsidP="00152B94">
            <w:pPr>
              <w:spacing w:after="0" w:line="161" w:lineRule="atLeast"/>
              <w:jc w:val="right"/>
              <w:rPr>
                <w:rFonts w:ascii="Arial" w:eastAsia="Times New Roman" w:hAnsi="Arial" w:cs="Arial"/>
                <w:color w:val="000000"/>
                <w:sz w:val="14"/>
                <w:szCs w:val="14"/>
                <w:lang w:eastAsia="en-GB"/>
              </w:rPr>
            </w:pPr>
            <w:r w:rsidRPr="002F44AF">
              <w:rPr>
                <w:rFonts w:ascii="Arial" w:eastAsia="Times New Roman" w:hAnsi="Arial" w:cs="Arial"/>
                <w:color w:val="000000"/>
                <w:sz w:val="14"/>
                <w:szCs w:val="14"/>
                <w:lang w:eastAsia="en-GB"/>
              </w:rPr>
              <w:t> </w:t>
            </w:r>
          </w:p>
        </w:tc>
        <w:tc>
          <w:tcPr>
            <w:tcW w:w="1131" w:type="dxa"/>
            <w:tcBorders>
              <w:top w:val="dotted" w:sz="8" w:space="0" w:color="auto"/>
              <w:left w:val="nil"/>
              <w:bottom w:val="dotted" w:sz="8" w:space="0" w:color="auto"/>
              <w:right w:val="dotted" w:sz="8" w:space="0" w:color="auto"/>
            </w:tcBorders>
            <w:shd w:val="clear" w:color="auto" w:fill="auto"/>
            <w:hideMark/>
          </w:tcPr>
          <w:p w14:paraId="3B59259F"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As at</w:t>
            </w:r>
          </w:p>
          <w:p w14:paraId="660529B0" w14:textId="0D578F2D"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31 March 202</w:t>
            </w:r>
            <w:r w:rsidR="009B6E21">
              <w:rPr>
                <w:rFonts w:ascii="Arial" w:eastAsia="Times New Roman" w:hAnsi="Arial" w:cs="Arial"/>
                <w:b/>
                <w:bCs/>
                <w:color w:val="000000"/>
                <w:sz w:val="20"/>
                <w:szCs w:val="20"/>
                <w:lang w:eastAsia="en-GB"/>
              </w:rPr>
              <w:t>2</w:t>
            </w:r>
          </w:p>
          <w:p w14:paraId="6F1D3879"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(Unaudited)</w:t>
            </w:r>
          </w:p>
          <w:p w14:paraId="4F0C7D9B"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£'000</w:t>
            </w:r>
          </w:p>
        </w:tc>
        <w:tc>
          <w:tcPr>
            <w:tcW w:w="1131" w:type="dxa"/>
            <w:tcBorders>
              <w:top w:val="dotted" w:sz="8" w:space="0" w:color="auto"/>
              <w:left w:val="nil"/>
              <w:bottom w:val="dotted" w:sz="8" w:space="0" w:color="auto"/>
              <w:right w:val="dotted" w:sz="8" w:space="0" w:color="auto"/>
            </w:tcBorders>
            <w:shd w:val="clear" w:color="auto" w:fill="auto"/>
            <w:hideMark/>
          </w:tcPr>
          <w:p w14:paraId="2344C705"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As at</w:t>
            </w:r>
          </w:p>
          <w:p w14:paraId="2093E136" w14:textId="2E757AC5"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31 March 202</w:t>
            </w:r>
            <w:r w:rsidR="009B6E21">
              <w:rPr>
                <w:rFonts w:ascii="Arial" w:eastAsia="Times New Roman" w:hAnsi="Arial" w:cs="Arial"/>
                <w:b/>
                <w:bCs/>
                <w:color w:val="000000"/>
                <w:sz w:val="20"/>
                <w:szCs w:val="20"/>
                <w:lang w:eastAsia="en-GB"/>
              </w:rPr>
              <w:t>1</w:t>
            </w:r>
          </w:p>
          <w:p w14:paraId="643398A6"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(Unaudited)</w:t>
            </w:r>
          </w:p>
          <w:p w14:paraId="147D8C5A" w14:textId="2A7415D0"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b/>
                <w:bCs/>
                <w:color w:val="000000"/>
                <w:sz w:val="20"/>
                <w:szCs w:val="20"/>
                <w:lang w:eastAsia="en-GB"/>
              </w:rPr>
              <w:t>£'000</w:t>
            </w:r>
          </w:p>
        </w:tc>
        <w:tc>
          <w:tcPr>
            <w:tcW w:w="1282" w:type="dxa"/>
            <w:tcBorders>
              <w:top w:val="dotted" w:sz="8" w:space="0" w:color="auto"/>
              <w:left w:val="nil"/>
              <w:bottom w:val="dotted" w:sz="8" w:space="0" w:color="auto"/>
              <w:right w:val="dotted" w:sz="8" w:space="0" w:color="auto"/>
            </w:tcBorders>
            <w:shd w:val="clear" w:color="auto" w:fill="auto"/>
            <w:vAlign w:val="bottom"/>
            <w:hideMark/>
          </w:tcPr>
          <w:p w14:paraId="2F7E0607"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As at</w:t>
            </w:r>
          </w:p>
          <w:p w14:paraId="10BA1044"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30 September</w:t>
            </w:r>
          </w:p>
          <w:p w14:paraId="4D0EAC63" w14:textId="7AAB2556"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 20</w:t>
            </w:r>
            <w:r>
              <w:rPr>
                <w:rFonts w:ascii="Arial" w:eastAsia="Times New Roman" w:hAnsi="Arial" w:cs="Arial"/>
                <w:color w:val="000000"/>
                <w:sz w:val="20"/>
                <w:szCs w:val="20"/>
                <w:lang w:eastAsia="en-GB"/>
              </w:rPr>
              <w:t>2</w:t>
            </w:r>
            <w:r w:rsidR="009B6E21">
              <w:rPr>
                <w:rFonts w:ascii="Arial" w:eastAsia="Times New Roman" w:hAnsi="Arial" w:cs="Arial"/>
                <w:color w:val="000000"/>
                <w:sz w:val="20"/>
                <w:szCs w:val="20"/>
                <w:lang w:eastAsia="en-GB"/>
              </w:rPr>
              <w:t>1</w:t>
            </w:r>
          </w:p>
          <w:p w14:paraId="46F827D5"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(Audited)</w:t>
            </w:r>
          </w:p>
          <w:p w14:paraId="391CF65D" w14:textId="77777777" w:rsidR="00152B94" w:rsidRPr="00152B94" w:rsidRDefault="00152B94" w:rsidP="00152B94">
            <w:pPr>
              <w:spacing w:after="0" w:line="161" w:lineRule="atLeast"/>
              <w:jc w:val="right"/>
              <w:rPr>
                <w:rFonts w:ascii="Arial" w:eastAsia="Times New Roman" w:hAnsi="Arial" w:cs="Arial"/>
                <w:color w:val="000000"/>
                <w:sz w:val="14"/>
                <w:szCs w:val="14"/>
                <w:lang w:eastAsia="en-GB"/>
              </w:rPr>
            </w:pPr>
            <w:r w:rsidRPr="00152B94">
              <w:rPr>
                <w:rFonts w:ascii="Arial" w:eastAsia="Times New Roman" w:hAnsi="Arial" w:cs="Arial"/>
                <w:color w:val="000000"/>
                <w:sz w:val="20"/>
                <w:szCs w:val="20"/>
                <w:lang w:eastAsia="en-GB"/>
              </w:rPr>
              <w:t>£'000</w:t>
            </w:r>
          </w:p>
        </w:tc>
      </w:tr>
      <w:tr w:rsidR="00152B94" w:rsidRPr="00152B94" w14:paraId="1C918A62"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F3C6BE1" w14:textId="77777777" w:rsidR="00152B94" w:rsidRPr="00152B94" w:rsidRDefault="00152B94" w:rsidP="00152B94">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Non-current assets</w:t>
            </w:r>
          </w:p>
        </w:tc>
        <w:tc>
          <w:tcPr>
            <w:tcW w:w="1131" w:type="dxa"/>
            <w:tcBorders>
              <w:top w:val="nil"/>
              <w:left w:val="nil"/>
              <w:bottom w:val="dotted" w:sz="8" w:space="0" w:color="auto"/>
              <w:right w:val="dotted" w:sz="8" w:space="0" w:color="auto"/>
            </w:tcBorders>
            <w:shd w:val="clear" w:color="auto" w:fill="auto"/>
            <w:hideMark/>
          </w:tcPr>
          <w:p w14:paraId="3C035D52" w14:textId="77777777" w:rsidR="00152B94" w:rsidRPr="00152B94" w:rsidRDefault="00152B94" w:rsidP="00152B94">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hideMark/>
          </w:tcPr>
          <w:p w14:paraId="681FF0AC" w14:textId="322AE0E2" w:rsidR="00152B94" w:rsidRPr="00152B94" w:rsidRDefault="00152B94" w:rsidP="00152B94">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282" w:type="dxa"/>
            <w:tcBorders>
              <w:top w:val="nil"/>
              <w:left w:val="nil"/>
              <w:bottom w:val="dotted" w:sz="8" w:space="0" w:color="auto"/>
              <w:right w:val="dotted" w:sz="8" w:space="0" w:color="auto"/>
            </w:tcBorders>
            <w:shd w:val="clear" w:color="auto" w:fill="auto"/>
            <w:vAlign w:val="bottom"/>
            <w:hideMark/>
          </w:tcPr>
          <w:p w14:paraId="2C60E72E" w14:textId="77777777" w:rsidR="00152B94" w:rsidRPr="00152B94" w:rsidRDefault="00152B94" w:rsidP="00152B94">
            <w:pPr>
              <w:spacing w:after="0" w:line="207" w:lineRule="atLeast"/>
              <w:jc w:val="righ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r>
      <w:tr w:rsidR="009B6E21" w:rsidRPr="00152B94" w14:paraId="2D62BF76"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16768DB2" w14:textId="46852529"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Intangible and tangible assets</w:t>
            </w:r>
          </w:p>
        </w:tc>
        <w:tc>
          <w:tcPr>
            <w:tcW w:w="1131" w:type="dxa"/>
            <w:tcBorders>
              <w:top w:val="nil"/>
              <w:left w:val="nil"/>
              <w:bottom w:val="dotted" w:sz="8" w:space="0" w:color="auto"/>
              <w:right w:val="dotted" w:sz="8" w:space="0" w:color="auto"/>
            </w:tcBorders>
            <w:shd w:val="clear" w:color="auto" w:fill="auto"/>
          </w:tcPr>
          <w:p w14:paraId="5D26B310" w14:textId="75753954"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425</w:t>
            </w:r>
          </w:p>
        </w:tc>
        <w:tc>
          <w:tcPr>
            <w:tcW w:w="1131" w:type="dxa"/>
            <w:tcBorders>
              <w:top w:val="nil"/>
              <w:left w:val="nil"/>
              <w:bottom w:val="dotted" w:sz="8" w:space="0" w:color="auto"/>
              <w:right w:val="dotted" w:sz="8" w:space="0" w:color="auto"/>
            </w:tcBorders>
            <w:shd w:val="clear" w:color="auto" w:fill="auto"/>
            <w:hideMark/>
          </w:tcPr>
          <w:p w14:paraId="30B05F01" w14:textId="5A4821A4" w:rsidR="009B6E21" w:rsidRPr="009B6E21" w:rsidRDefault="009B6E21" w:rsidP="009B6E21">
            <w:pPr>
              <w:spacing w:after="0" w:line="207" w:lineRule="atLeast"/>
              <w:jc w:val="right"/>
              <w:rPr>
                <w:rFonts w:ascii="Arial" w:eastAsia="Times New Roman" w:hAnsi="Arial" w:cs="Arial"/>
                <w:color w:val="000000"/>
                <w:sz w:val="18"/>
                <w:szCs w:val="18"/>
                <w:lang w:eastAsia="en-GB"/>
              </w:rPr>
            </w:pPr>
            <w:r w:rsidRPr="009B6E21">
              <w:rPr>
                <w:rFonts w:ascii="Arial" w:eastAsia="Times New Roman" w:hAnsi="Arial" w:cs="Arial"/>
                <w:color w:val="000000"/>
                <w:sz w:val="20"/>
                <w:szCs w:val="20"/>
                <w:lang w:eastAsia="en-GB"/>
              </w:rPr>
              <w:t>61</w:t>
            </w:r>
          </w:p>
        </w:tc>
        <w:tc>
          <w:tcPr>
            <w:tcW w:w="1282" w:type="dxa"/>
            <w:tcBorders>
              <w:top w:val="nil"/>
              <w:left w:val="nil"/>
              <w:bottom w:val="dotted" w:sz="8" w:space="0" w:color="auto"/>
              <w:right w:val="dotted" w:sz="8" w:space="0" w:color="auto"/>
            </w:tcBorders>
            <w:shd w:val="clear" w:color="auto" w:fill="auto"/>
            <w:vAlign w:val="bottom"/>
          </w:tcPr>
          <w:p w14:paraId="79397C4E" w14:textId="33E24DF5" w:rsidR="009B6E21" w:rsidRPr="003A28E9" w:rsidRDefault="00EE060E"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360</w:t>
            </w:r>
          </w:p>
        </w:tc>
      </w:tr>
      <w:tr w:rsidR="009B6E21" w:rsidRPr="00152B94" w14:paraId="28DBB8DA"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4057E6E9"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074258B5" w14:textId="4F7895BB"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425</w:t>
            </w:r>
          </w:p>
        </w:tc>
        <w:tc>
          <w:tcPr>
            <w:tcW w:w="1131" w:type="dxa"/>
            <w:tcBorders>
              <w:top w:val="nil"/>
              <w:left w:val="nil"/>
              <w:bottom w:val="dotted" w:sz="8" w:space="0" w:color="auto"/>
              <w:right w:val="dotted" w:sz="8" w:space="0" w:color="auto"/>
            </w:tcBorders>
            <w:shd w:val="clear" w:color="auto" w:fill="auto"/>
            <w:hideMark/>
          </w:tcPr>
          <w:p w14:paraId="1751C5FD" w14:textId="4BFB8D57" w:rsidR="009B6E21" w:rsidRPr="00152B94" w:rsidRDefault="009B6E21"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61</w:t>
            </w:r>
          </w:p>
        </w:tc>
        <w:tc>
          <w:tcPr>
            <w:tcW w:w="1282" w:type="dxa"/>
            <w:tcBorders>
              <w:top w:val="nil"/>
              <w:left w:val="nil"/>
              <w:bottom w:val="dotted" w:sz="8" w:space="0" w:color="auto"/>
              <w:right w:val="dotted" w:sz="8" w:space="0" w:color="auto"/>
            </w:tcBorders>
            <w:shd w:val="clear" w:color="auto" w:fill="auto"/>
            <w:vAlign w:val="bottom"/>
          </w:tcPr>
          <w:p w14:paraId="37253129" w14:textId="324E6966" w:rsidR="009B6E21" w:rsidRPr="00152B94" w:rsidRDefault="00EE060E"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360</w:t>
            </w:r>
          </w:p>
        </w:tc>
      </w:tr>
      <w:tr w:rsidR="009B6E21" w:rsidRPr="00152B94" w14:paraId="0B93C5A2"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104F5D90"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Current assets</w:t>
            </w:r>
          </w:p>
        </w:tc>
        <w:tc>
          <w:tcPr>
            <w:tcW w:w="1131" w:type="dxa"/>
            <w:tcBorders>
              <w:top w:val="nil"/>
              <w:left w:val="nil"/>
              <w:bottom w:val="dotted" w:sz="8" w:space="0" w:color="auto"/>
              <w:right w:val="dotted" w:sz="8" w:space="0" w:color="auto"/>
            </w:tcBorders>
            <w:shd w:val="clear" w:color="auto" w:fill="auto"/>
          </w:tcPr>
          <w:p w14:paraId="4FC51309" w14:textId="501EB79D" w:rsidR="009B6E21" w:rsidRPr="00152B94" w:rsidRDefault="009B6E21" w:rsidP="009B6E21">
            <w:pPr>
              <w:spacing w:after="0" w:line="207" w:lineRule="atLeast"/>
              <w:jc w:val="right"/>
              <w:rPr>
                <w:rFonts w:ascii="Arial" w:eastAsia="Times New Roman" w:hAnsi="Arial" w:cs="Arial"/>
                <w:b/>
                <w:bCs/>
                <w:color w:val="000000"/>
                <w:sz w:val="20"/>
                <w:szCs w:val="20"/>
                <w:lang w:eastAsia="en-GB"/>
              </w:rPr>
            </w:pPr>
          </w:p>
        </w:tc>
        <w:tc>
          <w:tcPr>
            <w:tcW w:w="1131" w:type="dxa"/>
            <w:tcBorders>
              <w:top w:val="nil"/>
              <w:left w:val="nil"/>
              <w:bottom w:val="dotted" w:sz="8" w:space="0" w:color="auto"/>
              <w:right w:val="dotted" w:sz="8" w:space="0" w:color="auto"/>
            </w:tcBorders>
            <w:shd w:val="clear" w:color="auto" w:fill="auto"/>
            <w:hideMark/>
          </w:tcPr>
          <w:p w14:paraId="5678232D" w14:textId="2DD1FCD7" w:rsidR="009B6E21" w:rsidRPr="00152B94" w:rsidRDefault="009B6E21" w:rsidP="009B6E21">
            <w:pPr>
              <w:spacing w:after="0" w:line="207" w:lineRule="atLeast"/>
              <w:jc w:val="right"/>
              <w:rPr>
                <w:rFonts w:ascii="Arial" w:eastAsia="Times New Roman" w:hAnsi="Arial" w:cs="Arial"/>
                <w:color w:val="000000"/>
                <w:sz w:val="18"/>
                <w:szCs w:val="18"/>
                <w:lang w:eastAsia="en-GB"/>
              </w:rPr>
            </w:pPr>
          </w:p>
        </w:tc>
        <w:tc>
          <w:tcPr>
            <w:tcW w:w="1282" w:type="dxa"/>
            <w:tcBorders>
              <w:top w:val="nil"/>
              <w:left w:val="nil"/>
              <w:bottom w:val="dotted" w:sz="8" w:space="0" w:color="auto"/>
              <w:right w:val="dotted" w:sz="8" w:space="0" w:color="auto"/>
            </w:tcBorders>
            <w:shd w:val="clear" w:color="auto" w:fill="auto"/>
            <w:vAlign w:val="bottom"/>
          </w:tcPr>
          <w:p w14:paraId="59EA4632" w14:textId="5D55C9D4" w:rsidR="009B6E21" w:rsidRPr="00152B94" w:rsidRDefault="009B6E21" w:rsidP="009B6E21">
            <w:pPr>
              <w:spacing w:after="0" w:line="207" w:lineRule="atLeast"/>
              <w:jc w:val="right"/>
              <w:rPr>
                <w:rFonts w:ascii="Arial" w:eastAsia="Times New Roman" w:hAnsi="Arial" w:cs="Arial"/>
                <w:color w:val="000000"/>
                <w:sz w:val="18"/>
                <w:szCs w:val="18"/>
                <w:lang w:eastAsia="en-GB"/>
              </w:rPr>
            </w:pPr>
          </w:p>
        </w:tc>
      </w:tr>
      <w:tr w:rsidR="009B6E21" w:rsidRPr="00152B94" w14:paraId="0641B167"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3F1186AF"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Inventories</w:t>
            </w:r>
          </w:p>
        </w:tc>
        <w:tc>
          <w:tcPr>
            <w:tcW w:w="1131" w:type="dxa"/>
            <w:tcBorders>
              <w:top w:val="nil"/>
              <w:left w:val="nil"/>
              <w:bottom w:val="dotted" w:sz="8" w:space="0" w:color="auto"/>
              <w:right w:val="dotted" w:sz="8" w:space="0" w:color="auto"/>
            </w:tcBorders>
            <w:shd w:val="clear" w:color="auto" w:fill="auto"/>
          </w:tcPr>
          <w:p w14:paraId="1E68AF35" w14:textId="13FC24A3" w:rsidR="009B6E21" w:rsidRPr="00152B94" w:rsidRDefault="00EF2897"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58</w:t>
            </w:r>
            <w:r w:rsidR="001778C0">
              <w:rPr>
                <w:rFonts w:ascii="Arial" w:eastAsia="Times New Roman" w:hAnsi="Arial" w:cs="Arial"/>
                <w:b/>
                <w:bCs/>
                <w:color w:val="000000"/>
                <w:sz w:val="20"/>
                <w:szCs w:val="20"/>
                <w:lang w:eastAsia="en-GB"/>
              </w:rPr>
              <w:t>1</w:t>
            </w:r>
          </w:p>
        </w:tc>
        <w:tc>
          <w:tcPr>
            <w:tcW w:w="1131" w:type="dxa"/>
            <w:tcBorders>
              <w:top w:val="nil"/>
              <w:left w:val="nil"/>
              <w:bottom w:val="dotted" w:sz="8" w:space="0" w:color="auto"/>
              <w:right w:val="dotted" w:sz="8" w:space="0" w:color="auto"/>
            </w:tcBorders>
            <w:shd w:val="clear" w:color="auto" w:fill="auto"/>
            <w:hideMark/>
          </w:tcPr>
          <w:p w14:paraId="3116509B" w14:textId="5C8D41B3" w:rsidR="009B6E21" w:rsidRPr="009B6E21" w:rsidRDefault="009B6E21" w:rsidP="009B6E21">
            <w:pPr>
              <w:spacing w:after="0" w:line="207" w:lineRule="atLeast"/>
              <w:jc w:val="right"/>
              <w:rPr>
                <w:rFonts w:ascii="Arial" w:eastAsia="Times New Roman" w:hAnsi="Arial" w:cs="Arial"/>
                <w:color w:val="000000"/>
                <w:sz w:val="18"/>
                <w:szCs w:val="18"/>
                <w:lang w:eastAsia="en-GB"/>
              </w:rPr>
            </w:pPr>
            <w:r w:rsidRPr="009B6E21">
              <w:rPr>
                <w:rFonts w:ascii="Arial" w:eastAsia="Times New Roman" w:hAnsi="Arial" w:cs="Arial"/>
                <w:color w:val="000000"/>
                <w:sz w:val="20"/>
                <w:szCs w:val="20"/>
                <w:lang w:eastAsia="en-GB"/>
              </w:rPr>
              <w:t>366</w:t>
            </w:r>
          </w:p>
        </w:tc>
        <w:tc>
          <w:tcPr>
            <w:tcW w:w="1282" w:type="dxa"/>
            <w:tcBorders>
              <w:top w:val="nil"/>
              <w:left w:val="nil"/>
              <w:bottom w:val="dotted" w:sz="8" w:space="0" w:color="auto"/>
              <w:right w:val="dotted" w:sz="8" w:space="0" w:color="auto"/>
            </w:tcBorders>
            <w:shd w:val="clear" w:color="auto" w:fill="auto"/>
            <w:vAlign w:val="bottom"/>
          </w:tcPr>
          <w:p w14:paraId="401F27AB" w14:textId="4A945551" w:rsidR="009B6E21" w:rsidRPr="003A28E9" w:rsidRDefault="00EE060E"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393</w:t>
            </w:r>
          </w:p>
        </w:tc>
      </w:tr>
      <w:tr w:rsidR="009B6E21" w:rsidRPr="00152B94" w14:paraId="64C9B737"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13F6D93"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Trade and other receivables</w:t>
            </w:r>
          </w:p>
        </w:tc>
        <w:tc>
          <w:tcPr>
            <w:tcW w:w="1131" w:type="dxa"/>
            <w:tcBorders>
              <w:top w:val="nil"/>
              <w:left w:val="nil"/>
              <w:bottom w:val="dotted" w:sz="8" w:space="0" w:color="auto"/>
              <w:right w:val="dotted" w:sz="8" w:space="0" w:color="auto"/>
            </w:tcBorders>
            <w:shd w:val="clear" w:color="auto" w:fill="auto"/>
          </w:tcPr>
          <w:p w14:paraId="195B59E0" w14:textId="2D40F0D5" w:rsidR="009B6E21" w:rsidRPr="00152B94" w:rsidRDefault="00093EE1"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w:t>
            </w:r>
            <w:r w:rsidR="00C43454">
              <w:rPr>
                <w:rFonts w:ascii="Arial" w:eastAsia="Times New Roman" w:hAnsi="Arial" w:cs="Arial"/>
                <w:b/>
                <w:bCs/>
                <w:color w:val="000000"/>
                <w:sz w:val="20"/>
                <w:szCs w:val="20"/>
                <w:lang w:eastAsia="en-GB"/>
              </w:rPr>
              <w:t>9</w:t>
            </w:r>
            <w:r>
              <w:rPr>
                <w:rFonts w:ascii="Arial" w:eastAsia="Times New Roman" w:hAnsi="Arial" w:cs="Arial"/>
                <w:b/>
                <w:bCs/>
                <w:color w:val="000000"/>
                <w:sz w:val="20"/>
                <w:szCs w:val="20"/>
                <w:lang w:eastAsia="en-GB"/>
              </w:rPr>
              <w:t>1</w:t>
            </w:r>
          </w:p>
        </w:tc>
        <w:tc>
          <w:tcPr>
            <w:tcW w:w="1131" w:type="dxa"/>
            <w:tcBorders>
              <w:top w:val="nil"/>
              <w:left w:val="nil"/>
              <w:bottom w:val="dotted" w:sz="8" w:space="0" w:color="auto"/>
              <w:right w:val="dotted" w:sz="8" w:space="0" w:color="auto"/>
            </w:tcBorders>
            <w:shd w:val="clear" w:color="auto" w:fill="auto"/>
            <w:hideMark/>
          </w:tcPr>
          <w:p w14:paraId="6093A610" w14:textId="4FBF72EA" w:rsidR="009B6E21" w:rsidRPr="009B6E21" w:rsidRDefault="009B6E21" w:rsidP="009B6E21">
            <w:pPr>
              <w:spacing w:after="0" w:line="207" w:lineRule="atLeast"/>
              <w:jc w:val="right"/>
              <w:rPr>
                <w:rFonts w:ascii="Arial" w:eastAsia="Times New Roman" w:hAnsi="Arial" w:cs="Arial"/>
                <w:color w:val="000000"/>
                <w:sz w:val="18"/>
                <w:szCs w:val="18"/>
                <w:lang w:eastAsia="en-GB"/>
              </w:rPr>
            </w:pPr>
            <w:r w:rsidRPr="009B6E21">
              <w:rPr>
                <w:rFonts w:ascii="Arial" w:eastAsia="Times New Roman" w:hAnsi="Arial" w:cs="Arial"/>
                <w:color w:val="000000"/>
                <w:sz w:val="20"/>
                <w:szCs w:val="20"/>
                <w:lang w:eastAsia="en-GB"/>
              </w:rPr>
              <w:t>404</w:t>
            </w:r>
          </w:p>
        </w:tc>
        <w:tc>
          <w:tcPr>
            <w:tcW w:w="1282" w:type="dxa"/>
            <w:tcBorders>
              <w:top w:val="nil"/>
              <w:left w:val="nil"/>
              <w:bottom w:val="dotted" w:sz="8" w:space="0" w:color="auto"/>
              <w:right w:val="dotted" w:sz="8" w:space="0" w:color="auto"/>
            </w:tcBorders>
            <w:shd w:val="clear" w:color="auto" w:fill="auto"/>
            <w:vAlign w:val="bottom"/>
          </w:tcPr>
          <w:p w14:paraId="1B569CCA" w14:textId="04397E6E" w:rsidR="009B6E21" w:rsidRPr="003A28E9" w:rsidRDefault="00EE060E"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741</w:t>
            </w:r>
          </w:p>
        </w:tc>
      </w:tr>
      <w:tr w:rsidR="009B6E21" w:rsidRPr="00152B94" w14:paraId="74812CC0"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9869DE9"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Cash and cash equivalents</w:t>
            </w:r>
          </w:p>
        </w:tc>
        <w:tc>
          <w:tcPr>
            <w:tcW w:w="1131" w:type="dxa"/>
            <w:tcBorders>
              <w:top w:val="nil"/>
              <w:left w:val="nil"/>
              <w:bottom w:val="dotted" w:sz="8" w:space="0" w:color="auto"/>
              <w:right w:val="dotted" w:sz="8" w:space="0" w:color="auto"/>
            </w:tcBorders>
            <w:shd w:val="clear" w:color="auto" w:fill="auto"/>
          </w:tcPr>
          <w:p w14:paraId="2C64C0D2" w14:textId="60D4579B" w:rsidR="009B6E21" w:rsidRPr="00152B94" w:rsidRDefault="00EF2897"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777</w:t>
            </w:r>
          </w:p>
        </w:tc>
        <w:tc>
          <w:tcPr>
            <w:tcW w:w="1131" w:type="dxa"/>
            <w:tcBorders>
              <w:top w:val="nil"/>
              <w:left w:val="nil"/>
              <w:bottom w:val="dotted" w:sz="8" w:space="0" w:color="auto"/>
              <w:right w:val="dotted" w:sz="8" w:space="0" w:color="auto"/>
            </w:tcBorders>
            <w:shd w:val="clear" w:color="auto" w:fill="auto"/>
            <w:hideMark/>
          </w:tcPr>
          <w:p w14:paraId="30461593" w14:textId="1AD47A1E" w:rsidR="009B6E21" w:rsidRPr="009B6E21" w:rsidRDefault="009B6E21" w:rsidP="009B6E21">
            <w:pPr>
              <w:spacing w:after="0" w:line="207" w:lineRule="atLeast"/>
              <w:jc w:val="right"/>
              <w:rPr>
                <w:rFonts w:ascii="Arial" w:eastAsia="Times New Roman" w:hAnsi="Arial" w:cs="Arial"/>
                <w:color w:val="000000"/>
                <w:sz w:val="18"/>
                <w:szCs w:val="18"/>
                <w:lang w:eastAsia="en-GB"/>
              </w:rPr>
            </w:pPr>
            <w:r w:rsidRPr="009B6E21">
              <w:rPr>
                <w:rFonts w:ascii="Arial" w:eastAsia="Times New Roman" w:hAnsi="Arial" w:cs="Arial"/>
                <w:color w:val="000000"/>
                <w:sz w:val="20"/>
                <w:szCs w:val="20"/>
                <w:lang w:eastAsia="en-GB"/>
              </w:rPr>
              <w:t>1,048</w:t>
            </w:r>
          </w:p>
        </w:tc>
        <w:tc>
          <w:tcPr>
            <w:tcW w:w="1282" w:type="dxa"/>
            <w:tcBorders>
              <w:top w:val="nil"/>
              <w:left w:val="nil"/>
              <w:bottom w:val="dotted" w:sz="8" w:space="0" w:color="auto"/>
              <w:right w:val="dotted" w:sz="8" w:space="0" w:color="auto"/>
            </w:tcBorders>
            <w:shd w:val="clear" w:color="auto" w:fill="auto"/>
            <w:vAlign w:val="bottom"/>
          </w:tcPr>
          <w:p w14:paraId="0BB687B7" w14:textId="2F6A1EAB" w:rsidR="009B6E21" w:rsidRPr="003A28E9" w:rsidRDefault="00EE060E"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1,186</w:t>
            </w:r>
          </w:p>
        </w:tc>
      </w:tr>
      <w:tr w:rsidR="009B6E21" w:rsidRPr="00152B94" w14:paraId="4C318BFB"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1A9EC793"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18"/>
                <w:szCs w:val="18"/>
                <w:lang w:eastAsia="en-GB"/>
              </w:rPr>
              <w:t> </w:t>
            </w:r>
          </w:p>
        </w:tc>
        <w:tc>
          <w:tcPr>
            <w:tcW w:w="1131" w:type="dxa"/>
            <w:tcBorders>
              <w:top w:val="nil"/>
              <w:left w:val="nil"/>
              <w:bottom w:val="dotted" w:sz="8" w:space="0" w:color="auto"/>
              <w:right w:val="dotted" w:sz="8" w:space="0" w:color="auto"/>
            </w:tcBorders>
            <w:shd w:val="clear" w:color="auto" w:fill="auto"/>
          </w:tcPr>
          <w:p w14:paraId="585B15C3" w14:textId="24189795" w:rsidR="009B6E21" w:rsidRPr="00152B94" w:rsidRDefault="001778C0"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1,9</w:t>
            </w:r>
            <w:r w:rsidR="00C43454">
              <w:rPr>
                <w:rFonts w:ascii="Arial" w:eastAsia="Times New Roman" w:hAnsi="Arial" w:cs="Arial"/>
                <w:b/>
                <w:bCs/>
                <w:color w:val="000000"/>
                <w:sz w:val="20"/>
                <w:szCs w:val="20"/>
                <w:lang w:eastAsia="en-GB"/>
              </w:rPr>
              <w:t>4</w:t>
            </w:r>
            <w:r>
              <w:rPr>
                <w:rFonts w:ascii="Arial" w:eastAsia="Times New Roman" w:hAnsi="Arial" w:cs="Arial"/>
                <w:b/>
                <w:bCs/>
                <w:color w:val="000000"/>
                <w:sz w:val="20"/>
                <w:szCs w:val="20"/>
                <w:lang w:eastAsia="en-GB"/>
              </w:rPr>
              <w:t>9</w:t>
            </w:r>
          </w:p>
        </w:tc>
        <w:tc>
          <w:tcPr>
            <w:tcW w:w="1131" w:type="dxa"/>
            <w:tcBorders>
              <w:top w:val="nil"/>
              <w:left w:val="nil"/>
              <w:bottom w:val="dotted" w:sz="8" w:space="0" w:color="auto"/>
              <w:right w:val="dotted" w:sz="8" w:space="0" w:color="auto"/>
            </w:tcBorders>
            <w:shd w:val="clear" w:color="auto" w:fill="auto"/>
            <w:hideMark/>
          </w:tcPr>
          <w:p w14:paraId="395EBEFE" w14:textId="76833C50" w:rsidR="009B6E21" w:rsidRPr="00152B94" w:rsidRDefault="009B6E21"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1,818</w:t>
            </w:r>
          </w:p>
        </w:tc>
        <w:tc>
          <w:tcPr>
            <w:tcW w:w="1282" w:type="dxa"/>
            <w:tcBorders>
              <w:top w:val="nil"/>
              <w:left w:val="nil"/>
              <w:bottom w:val="dotted" w:sz="8" w:space="0" w:color="auto"/>
              <w:right w:val="dotted" w:sz="8" w:space="0" w:color="auto"/>
            </w:tcBorders>
            <w:shd w:val="clear" w:color="auto" w:fill="auto"/>
            <w:vAlign w:val="bottom"/>
          </w:tcPr>
          <w:p w14:paraId="02D1F85C" w14:textId="6B121CA3" w:rsidR="009B6E21" w:rsidRPr="00152B94" w:rsidRDefault="00EE060E"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2,320</w:t>
            </w:r>
          </w:p>
        </w:tc>
      </w:tr>
      <w:tr w:rsidR="009B6E21" w:rsidRPr="00152B94" w14:paraId="37EACA51"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3D3FC9F"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Total assets</w:t>
            </w:r>
          </w:p>
        </w:tc>
        <w:tc>
          <w:tcPr>
            <w:tcW w:w="1131" w:type="dxa"/>
            <w:tcBorders>
              <w:top w:val="nil"/>
              <w:left w:val="nil"/>
              <w:bottom w:val="dotted" w:sz="8" w:space="0" w:color="auto"/>
              <w:right w:val="dotted" w:sz="8" w:space="0" w:color="auto"/>
            </w:tcBorders>
            <w:shd w:val="clear" w:color="auto" w:fill="auto"/>
          </w:tcPr>
          <w:p w14:paraId="168F217A" w14:textId="72441920"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2,374</w:t>
            </w:r>
          </w:p>
        </w:tc>
        <w:tc>
          <w:tcPr>
            <w:tcW w:w="1131" w:type="dxa"/>
            <w:tcBorders>
              <w:top w:val="nil"/>
              <w:left w:val="nil"/>
              <w:bottom w:val="dotted" w:sz="8" w:space="0" w:color="auto"/>
              <w:right w:val="dotted" w:sz="8" w:space="0" w:color="auto"/>
            </w:tcBorders>
            <w:shd w:val="clear" w:color="auto" w:fill="auto"/>
            <w:hideMark/>
          </w:tcPr>
          <w:p w14:paraId="0C040443" w14:textId="5E7EF6E5" w:rsidR="009B6E21" w:rsidRPr="00152B94" w:rsidRDefault="009B6E21"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1,879</w:t>
            </w:r>
          </w:p>
        </w:tc>
        <w:tc>
          <w:tcPr>
            <w:tcW w:w="1282" w:type="dxa"/>
            <w:tcBorders>
              <w:top w:val="nil"/>
              <w:left w:val="nil"/>
              <w:bottom w:val="dotted" w:sz="8" w:space="0" w:color="auto"/>
              <w:right w:val="dotted" w:sz="8" w:space="0" w:color="auto"/>
            </w:tcBorders>
            <w:shd w:val="clear" w:color="auto" w:fill="auto"/>
            <w:vAlign w:val="bottom"/>
          </w:tcPr>
          <w:p w14:paraId="112447FF" w14:textId="2C640FEA" w:rsidR="009B6E21" w:rsidRPr="00152B94" w:rsidRDefault="00EE060E"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2,680</w:t>
            </w:r>
          </w:p>
        </w:tc>
      </w:tr>
      <w:tr w:rsidR="009B6E21" w:rsidRPr="00152B94" w14:paraId="7E68E35F"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4560669C"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Current liabilities</w:t>
            </w:r>
          </w:p>
        </w:tc>
        <w:tc>
          <w:tcPr>
            <w:tcW w:w="1131" w:type="dxa"/>
            <w:tcBorders>
              <w:top w:val="nil"/>
              <w:left w:val="nil"/>
              <w:bottom w:val="dotted" w:sz="8" w:space="0" w:color="auto"/>
              <w:right w:val="dotted" w:sz="8" w:space="0" w:color="auto"/>
            </w:tcBorders>
            <w:shd w:val="clear" w:color="auto" w:fill="auto"/>
          </w:tcPr>
          <w:p w14:paraId="1E4D38B4" w14:textId="382204DD" w:rsidR="009B6E21" w:rsidRPr="00152B94" w:rsidRDefault="009B6E21" w:rsidP="009B6E21">
            <w:pPr>
              <w:spacing w:after="0" w:line="207" w:lineRule="atLeast"/>
              <w:jc w:val="right"/>
              <w:rPr>
                <w:rFonts w:ascii="Arial" w:eastAsia="Times New Roman" w:hAnsi="Arial" w:cs="Arial"/>
                <w:b/>
                <w:bCs/>
                <w:color w:val="000000"/>
                <w:sz w:val="20"/>
                <w:szCs w:val="20"/>
                <w:lang w:eastAsia="en-GB"/>
              </w:rPr>
            </w:pPr>
          </w:p>
        </w:tc>
        <w:tc>
          <w:tcPr>
            <w:tcW w:w="1131" w:type="dxa"/>
            <w:tcBorders>
              <w:top w:val="nil"/>
              <w:left w:val="nil"/>
              <w:bottom w:val="dotted" w:sz="8" w:space="0" w:color="auto"/>
              <w:right w:val="dotted" w:sz="8" w:space="0" w:color="auto"/>
            </w:tcBorders>
            <w:shd w:val="clear" w:color="auto" w:fill="auto"/>
            <w:hideMark/>
          </w:tcPr>
          <w:p w14:paraId="1385168D" w14:textId="412A4663" w:rsidR="009B6E21" w:rsidRPr="00152B94" w:rsidRDefault="009B6E21" w:rsidP="009B6E21">
            <w:pPr>
              <w:spacing w:after="0" w:line="207" w:lineRule="atLeast"/>
              <w:jc w:val="right"/>
              <w:rPr>
                <w:rFonts w:ascii="Arial" w:eastAsia="Times New Roman" w:hAnsi="Arial" w:cs="Arial"/>
                <w:color w:val="000000"/>
                <w:sz w:val="18"/>
                <w:szCs w:val="18"/>
                <w:lang w:eastAsia="en-GB"/>
              </w:rPr>
            </w:pPr>
          </w:p>
        </w:tc>
        <w:tc>
          <w:tcPr>
            <w:tcW w:w="1282" w:type="dxa"/>
            <w:tcBorders>
              <w:top w:val="nil"/>
              <w:left w:val="nil"/>
              <w:bottom w:val="dotted" w:sz="8" w:space="0" w:color="auto"/>
              <w:right w:val="dotted" w:sz="8" w:space="0" w:color="auto"/>
            </w:tcBorders>
            <w:shd w:val="clear" w:color="auto" w:fill="auto"/>
            <w:vAlign w:val="bottom"/>
          </w:tcPr>
          <w:p w14:paraId="73BEEBCC" w14:textId="330F2F25" w:rsidR="009B6E21" w:rsidRPr="00152B94" w:rsidRDefault="009B6E21" w:rsidP="009B6E21">
            <w:pPr>
              <w:spacing w:after="0" w:line="207" w:lineRule="atLeast"/>
              <w:jc w:val="right"/>
              <w:rPr>
                <w:rFonts w:ascii="Arial" w:eastAsia="Times New Roman" w:hAnsi="Arial" w:cs="Arial"/>
                <w:color w:val="000000"/>
                <w:sz w:val="18"/>
                <w:szCs w:val="18"/>
                <w:lang w:eastAsia="en-GB"/>
              </w:rPr>
            </w:pPr>
          </w:p>
        </w:tc>
      </w:tr>
      <w:tr w:rsidR="009B6E21" w:rsidRPr="00152B94" w14:paraId="39BAA71E"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18E7B3DE"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Trade and other payables</w:t>
            </w:r>
          </w:p>
        </w:tc>
        <w:tc>
          <w:tcPr>
            <w:tcW w:w="1131" w:type="dxa"/>
            <w:tcBorders>
              <w:top w:val="nil"/>
              <w:left w:val="nil"/>
              <w:bottom w:val="dotted" w:sz="8" w:space="0" w:color="auto"/>
              <w:right w:val="dotted" w:sz="8" w:space="0" w:color="auto"/>
            </w:tcBorders>
            <w:shd w:val="clear" w:color="auto" w:fill="auto"/>
          </w:tcPr>
          <w:p w14:paraId="0BEC04F9" w14:textId="16B1F4F1"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874</w:t>
            </w:r>
          </w:p>
        </w:tc>
        <w:tc>
          <w:tcPr>
            <w:tcW w:w="1131" w:type="dxa"/>
            <w:tcBorders>
              <w:top w:val="nil"/>
              <w:left w:val="nil"/>
              <w:bottom w:val="dotted" w:sz="8" w:space="0" w:color="auto"/>
              <w:right w:val="dotted" w:sz="8" w:space="0" w:color="auto"/>
            </w:tcBorders>
            <w:shd w:val="clear" w:color="auto" w:fill="auto"/>
            <w:hideMark/>
          </w:tcPr>
          <w:p w14:paraId="78877635" w14:textId="7549CDC5" w:rsidR="009B6E21" w:rsidRPr="009B6E21" w:rsidRDefault="009B6E21" w:rsidP="009B6E21">
            <w:pPr>
              <w:spacing w:after="0" w:line="207" w:lineRule="atLeast"/>
              <w:jc w:val="right"/>
              <w:rPr>
                <w:rFonts w:ascii="Arial" w:eastAsia="Times New Roman" w:hAnsi="Arial" w:cs="Arial"/>
                <w:color w:val="000000"/>
                <w:sz w:val="18"/>
                <w:szCs w:val="18"/>
                <w:lang w:eastAsia="en-GB"/>
              </w:rPr>
            </w:pPr>
            <w:r w:rsidRPr="009B6E21">
              <w:rPr>
                <w:rFonts w:ascii="Arial" w:eastAsia="Times New Roman" w:hAnsi="Arial" w:cs="Arial"/>
                <w:color w:val="000000"/>
                <w:sz w:val="20"/>
                <w:szCs w:val="20"/>
                <w:lang w:eastAsia="en-GB"/>
              </w:rPr>
              <w:t>671</w:t>
            </w:r>
          </w:p>
        </w:tc>
        <w:tc>
          <w:tcPr>
            <w:tcW w:w="1282" w:type="dxa"/>
            <w:tcBorders>
              <w:top w:val="nil"/>
              <w:left w:val="nil"/>
              <w:bottom w:val="dotted" w:sz="8" w:space="0" w:color="auto"/>
              <w:right w:val="dotted" w:sz="8" w:space="0" w:color="auto"/>
            </w:tcBorders>
            <w:shd w:val="clear" w:color="auto" w:fill="auto"/>
            <w:vAlign w:val="bottom"/>
          </w:tcPr>
          <w:p w14:paraId="7FCEC078" w14:textId="180AFEE2" w:rsidR="009B6E21" w:rsidRPr="003A28E9" w:rsidRDefault="00EE060E"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836</w:t>
            </w:r>
          </w:p>
        </w:tc>
      </w:tr>
      <w:tr w:rsidR="009B6E21" w:rsidRPr="00152B94" w14:paraId="5A2E560E"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48A9F68D"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Non-current liabilities</w:t>
            </w:r>
          </w:p>
        </w:tc>
        <w:tc>
          <w:tcPr>
            <w:tcW w:w="1131" w:type="dxa"/>
            <w:tcBorders>
              <w:top w:val="nil"/>
              <w:left w:val="nil"/>
              <w:bottom w:val="dotted" w:sz="8" w:space="0" w:color="auto"/>
              <w:right w:val="dotted" w:sz="8" w:space="0" w:color="auto"/>
            </w:tcBorders>
            <w:shd w:val="clear" w:color="auto" w:fill="auto"/>
          </w:tcPr>
          <w:p w14:paraId="3B645218" w14:textId="21E29B24"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186</w:t>
            </w:r>
          </w:p>
        </w:tc>
        <w:tc>
          <w:tcPr>
            <w:tcW w:w="1131" w:type="dxa"/>
            <w:tcBorders>
              <w:top w:val="nil"/>
              <w:left w:val="nil"/>
              <w:bottom w:val="dotted" w:sz="8" w:space="0" w:color="auto"/>
              <w:right w:val="dotted" w:sz="8" w:space="0" w:color="auto"/>
            </w:tcBorders>
            <w:shd w:val="clear" w:color="auto" w:fill="auto"/>
            <w:hideMark/>
          </w:tcPr>
          <w:p w14:paraId="12AE3884" w14:textId="0D668A53" w:rsidR="009B6E21" w:rsidRPr="00152B94" w:rsidRDefault="00C43454"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t>
            </w:r>
          </w:p>
        </w:tc>
        <w:tc>
          <w:tcPr>
            <w:tcW w:w="1282" w:type="dxa"/>
            <w:tcBorders>
              <w:top w:val="nil"/>
              <w:left w:val="nil"/>
              <w:bottom w:val="dotted" w:sz="8" w:space="0" w:color="auto"/>
              <w:right w:val="dotted" w:sz="8" w:space="0" w:color="auto"/>
            </w:tcBorders>
            <w:shd w:val="clear" w:color="auto" w:fill="auto"/>
            <w:vAlign w:val="bottom"/>
          </w:tcPr>
          <w:p w14:paraId="40BAD29B" w14:textId="795F7934" w:rsidR="009B6E21" w:rsidRPr="00152B94" w:rsidRDefault="00EE060E"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195</w:t>
            </w:r>
          </w:p>
        </w:tc>
      </w:tr>
      <w:tr w:rsidR="009B6E21" w:rsidRPr="00152B94" w14:paraId="18BBD8C5"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6BD60946"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Total liabilities</w:t>
            </w:r>
          </w:p>
        </w:tc>
        <w:tc>
          <w:tcPr>
            <w:tcW w:w="1131" w:type="dxa"/>
            <w:tcBorders>
              <w:top w:val="nil"/>
              <w:left w:val="nil"/>
              <w:bottom w:val="dotted" w:sz="8" w:space="0" w:color="auto"/>
              <w:right w:val="dotted" w:sz="8" w:space="0" w:color="auto"/>
            </w:tcBorders>
            <w:shd w:val="clear" w:color="auto" w:fill="auto"/>
          </w:tcPr>
          <w:p w14:paraId="0D2EACD5" w14:textId="68AFC84F"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1,060</w:t>
            </w:r>
          </w:p>
        </w:tc>
        <w:tc>
          <w:tcPr>
            <w:tcW w:w="1131" w:type="dxa"/>
            <w:tcBorders>
              <w:top w:val="nil"/>
              <w:left w:val="nil"/>
              <w:bottom w:val="dotted" w:sz="8" w:space="0" w:color="auto"/>
              <w:right w:val="dotted" w:sz="8" w:space="0" w:color="auto"/>
            </w:tcBorders>
            <w:shd w:val="clear" w:color="auto" w:fill="auto"/>
            <w:hideMark/>
          </w:tcPr>
          <w:p w14:paraId="52A9268B" w14:textId="4F07845A" w:rsidR="009B6E21" w:rsidRPr="00152B94" w:rsidRDefault="009B6E21"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671</w:t>
            </w:r>
          </w:p>
        </w:tc>
        <w:tc>
          <w:tcPr>
            <w:tcW w:w="1282" w:type="dxa"/>
            <w:tcBorders>
              <w:top w:val="nil"/>
              <w:left w:val="nil"/>
              <w:bottom w:val="dotted" w:sz="8" w:space="0" w:color="auto"/>
              <w:right w:val="dotted" w:sz="8" w:space="0" w:color="auto"/>
            </w:tcBorders>
            <w:shd w:val="clear" w:color="auto" w:fill="auto"/>
            <w:vAlign w:val="bottom"/>
          </w:tcPr>
          <w:p w14:paraId="3E38810E" w14:textId="7CFF8239" w:rsidR="009B6E21" w:rsidRPr="00152B94" w:rsidRDefault="00EE060E"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1,031</w:t>
            </w:r>
          </w:p>
        </w:tc>
      </w:tr>
      <w:tr w:rsidR="009B6E21" w:rsidRPr="00152B94" w14:paraId="7D6CCBC3"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7977B982"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Net assets</w:t>
            </w:r>
          </w:p>
        </w:tc>
        <w:tc>
          <w:tcPr>
            <w:tcW w:w="1131" w:type="dxa"/>
            <w:tcBorders>
              <w:top w:val="nil"/>
              <w:left w:val="nil"/>
              <w:bottom w:val="dotted" w:sz="8" w:space="0" w:color="auto"/>
              <w:right w:val="dotted" w:sz="8" w:space="0" w:color="auto"/>
            </w:tcBorders>
            <w:shd w:val="clear" w:color="auto" w:fill="auto"/>
          </w:tcPr>
          <w:p w14:paraId="0114960F" w14:textId="613623D2"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1,314</w:t>
            </w:r>
          </w:p>
        </w:tc>
        <w:tc>
          <w:tcPr>
            <w:tcW w:w="1131" w:type="dxa"/>
            <w:tcBorders>
              <w:top w:val="nil"/>
              <w:left w:val="nil"/>
              <w:bottom w:val="dotted" w:sz="8" w:space="0" w:color="auto"/>
              <w:right w:val="dotted" w:sz="8" w:space="0" w:color="auto"/>
            </w:tcBorders>
            <w:shd w:val="clear" w:color="auto" w:fill="auto"/>
            <w:hideMark/>
          </w:tcPr>
          <w:p w14:paraId="0DCD6B3C" w14:textId="7138E24B" w:rsidR="009B6E21" w:rsidRPr="00152B94" w:rsidRDefault="009B6E21"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1,208</w:t>
            </w:r>
          </w:p>
        </w:tc>
        <w:tc>
          <w:tcPr>
            <w:tcW w:w="1282" w:type="dxa"/>
            <w:tcBorders>
              <w:top w:val="nil"/>
              <w:left w:val="nil"/>
              <w:bottom w:val="dotted" w:sz="8" w:space="0" w:color="auto"/>
              <w:right w:val="dotted" w:sz="8" w:space="0" w:color="auto"/>
            </w:tcBorders>
            <w:shd w:val="clear" w:color="auto" w:fill="auto"/>
            <w:vAlign w:val="bottom"/>
          </w:tcPr>
          <w:p w14:paraId="1C978F9A" w14:textId="43C173CA" w:rsidR="009B6E21" w:rsidRPr="00152B94" w:rsidRDefault="00EE060E"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1,649</w:t>
            </w:r>
          </w:p>
        </w:tc>
      </w:tr>
      <w:tr w:rsidR="009B6E21" w:rsidRPr="00152B94" w14:paraId="2F738F6F"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51D204F7"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Equity</w:t>
            </w:r>
          </w:p>
        </w:tc>
        <w:tc>
          <w:tcPr>
            <w:tcW w:w="1131" w:type="dxa"/>
            <w:tcBorders>
              <w:top w:val="nil"/>
              <w:left w:val="nil"/>
              <w:bottom w:val="dotted" w:sz="8" w:space="0" w:color="auto"/>
              <w:right w:val="dotted" w:sz="8" w:space="0" w:color="auto"/>
            </w:tcBorders>
            <w:shd w:val="clear" w:color="auto" w:fill="auto"/>
          </w:tcPr>
          <w:p w14:paraId="01156967" w14:textId="0EDDCF7C" w:rsidR="009B6E21" w:rsidRPr="00152B94" w:rsidRDefault="009B6E21" w:rsidP="009B6E21">
            <w:pPr>
              <w:spacing w:after="0" w:line="207" w:lineRule="atLeast"/>
              <w:jc w:val="right"/>
              <w:rPr>
                <w:rFonts w:ascii="Arial" w:eastAsia="Times New Roman" w:hAnsi="Arial" w:cs="Arial"/>
                <w:b/>
                <w:bCs/>
                <w:color w:val="000000"/>
                <w:sz w:val="20"/>
                <w:szCs w:val="20"/>
                <w:lang w:eastAsia="en-GB"/>
              </w:rPr>
            </w:pPr>
          </w:p>
        </w:tc>
        <w:tc>
          <w:tcPr>
            <w:tcW w:w="1131" w:type="dxa"/>
            <w:tcBorders>
              <w:top w:val="nil"/>
              <w:left w:val="nil"/>
              <w:bottom w:val="dotted" w:sz="8" w:space="0" w:color="auto"/>
              <w:right w:val="dotted" w:sz="8" w:space="0" w:color="auto"/>
            </w:tcBorders>
            <w:shd w:val="clear" w:color="auto" w:fill="auto"/>
            <w:hideMark/>
          </w:tcPr>
          <w:p w14:paraId="2D793696" w14:textId="0C885F4E" w:rsidR="009B6E21" w:rsidRPr="00152B94" w:rsidRDefault="009B6E21" w:rsidP="009B6E21">
            <w:pPr>
              <w:spacing w:after="0" w:line="207" w:lineRule="atLeast"/>
              <w:jc w:val="right"/>
              <w:rPr>
                <w:rFonts w:ascii="Arial" w:eastAsia="Times New Roman" w:hAnsi="Arial" w:cs="Arial"/>
                <w:color w:val="000000"/>
                <w:sz w:val="18"/>
                <w:szCs w:val="18"/>
                <w:lang w:eastAsia="en-GB"/>
              </w:rPr>
            </w:pPr>
          </w:p>
        </w:tc>
        <w:tc>
          <w:tcPr>
            <w:tcW w:w="1282" w:type="dxa"/>
            <w:tcBorders>
              <w:top w:val="nil"/>
              <w:left w:val="nil"/>
              <w:bottom w:val="dotted" w:sz="8" w:space="0" w:color="auto"/>
              <w:right w:val="dotted" w:sz="8" w:space="0" w:color="auto"/>
            </w:tcBorders>
            <w:shd w:val="clear" w:color="auto" w:fill="auto"/>
            <w:vAlign w:val="bottom"/>
          </w:tcPr>
          <w:p w14:paraId="1E2FEBBE" w14:textId="59C90ADE" w:rsidR="009B6E21" w:rsidRPr="00152B94" w:rsidRDefault="009B6E21" w:rsidP="009B6E21">
            <w:pPr>
              <w:spacing w:after="0" w:line="207" w:lineRule="atLeast"/>
              <w:jc w:val="right"/>
              <w:rPr>
                <w:rFonts w:ascii="Arial" w:eastAsia="Times New Roman" w:hAnsi="Arial" w:cs="Arial"/>
                <w:color w:val="000000"/>
                <w:sz w:val="18"/>
                <w:szCs w:val="18"/>
                <w:lang w:eastAsia="en-GB"/>
              </w:rPr>
            </w:pPr>
          </w:p>
        </w:tc>
      </w:tr>
      <w:tr w:rsidR="009B6E21" w:rsidRPr="00152B94" w14:paraId="06E20831"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7F526861"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Share capital</w:t>
            </w:r>
          </w:p>
        </w:tc>
        <w:tc>
          <w:tcPr>
            <w:tcW w:w="1131" w:type="dxa"/>
            <w:tcBorders>
              <w:top w:val="nil"/>
              <w:left w:val="nil"/>
              <w:bottom w:val="dotted" w:sz="8" w:space="0" w:color="auto"/>
              <w:right w:val="dotted" w:sz="8" w:space="0" w:color="auto"/>
            </w:tcBorders>
            <w:shd w:val="clear" w:color="auto" w:fill="auto"/>
          </w:tcPr>
          <w:p w14:paraId="177B4BA3" w14:textId="4ABF9A34"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1,368</w:t>
            </w:r>
          </w:p>
        </w:tc>
        <w:tc>
          <w:tcPr>
            <w:tcW w:w="1131" w:type="dxa"/>
            <w:tcBorders>
              <w:top w:val="nil"/>
              <w:left w:val="nil"/>
              <w:bottom w:val="dotted" w:sz="8" w:space="0" w:color="auto"/>
              <w:right w:val="dotted" w:sz="8" w:space="0" w:color="auto"/>
            </w:tcBorders>
            <w:shd w:val="clear" w:color="auto" w:fill="auto"/>
            <w:hideMark/>
          </w:tcPr>
          <w:p w14:paraId="701167C8" w14:textId="0CABFD7A" w:rsidR="009B6E21" w:rsidRPr="009B6E21" w:rsidRDefault="009B6E21" w:rsidP="009B6E21">
            <w:pPr>
              <w:spacing w:after="0" w:line="207" w:lineRule="atLeast"/>
              <w:jc w:val="right"/>
              <w:rPr>
                <w:rFonts w:ascii="Arial" w:eastAsia="Times New Roman" w:hAnsi="Arial" w:cs="Arial"/>
                <w:color w:val="000000"/>
                <w:sz w:val="18"/>
                <w:szCs w:val="18"/>
                <w:lang w:eastAsia="en-GB"/>
              </w:rPr>
            </w:pPr>
            <w:r w:rsidRPr="009B6E21">
              <w:rPr>
                <w:rFonts w:ascii="Arial" w:eastAsia="Times New Roman" w:hAnsi="Arial" w:cs="Arial"/>
                <w:color w:val="000000"/>
                <w:sz w:val="20"/>
                <w:szCs w:val="20"/>
                <w:lang w:eastAsia="en-GB"/>
              </w:rPr>
              <w:t>1,363</w:t>
            </w:r>
          </w:p>
        </w:tc>
        <w:tc>
          <w:tcPr>
            <w:tcW w:w="1282" w:type="dxa"/>
            <w:tcBorders>
              <w:top w:val="nil"/>
              <w:left w:val="nil"/>
              <w:bottom w:val="dotted" w:sz="8" w:space="0" w:color="auto"/>
              <w:right w:val="dotted" w:sz="8" w:space="0" w:color="auto"/>
            </w:tcBorders>
            <w:shd w:val="clear" w:color="auto" w:fill="auto"/>
            <w:vAlign w:val="bottom"/>
          </w:tcPr>
          <w:p w14:paraId="66C74D01" w14:textId="16F12CBD" w:rsidR="009B6E21" w:rsidRPr="00152B94" w:rsidRDefault="00EE060E"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1,363</w:t>
            </w:r>
          </w:p>
        </w:tc>
      </w:tr>
      <w:tr w:rsidR="009B6E21" w:rsidRPr="00152B94" w14:paraId="54CE1F82"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2860F7B3"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Share premium account</w:t>
            </w:r>
          </w:p>
        </w:tc>
        <w:tc>
          <w:tcPr>
            <w:tcW w:w="1131" w:type="dxa"/>
            <w:tcBorders>
              <w:top w:val="nil"/>
              <w:left w:val="nil"/>
              <w:bottom w:val="dotted" w:sz="8" w:space="0" w:color="auto"/>
              <w:right w:val="dotted" w:sz="8" w:space="0" w:color="auto"/>
            </w:tcBorders>
            <w:shd w:val="clear" w:color="auto" w:fill="auto"/>
          </w:tcPr>
          <w:p w14:paraId="2B0B54D6" w14:textId="0DD049D9"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8,333</w:t>
            </w:r>
          </w:p>
        </w:tc>
        <w:tc>
          <w:tcPr>
            <w:tcW w:w="1131" w:type="dxa"/>
            <w:tcBorders>
              <w:top w:val="nil"/>
              <w:left w:val="nil"/>
              <w:bottom w:val="dotted" w:sz="8" w:space="0" w:color="auto"/>
              <w:right w:val="dotted" w:sz="8" w:space="0" w:color="auto"/>
            </w:tcBorders>
            <w:shd w:val="clear" w:color="auto" w:fill="auto"/>
            <w:hideMark/>
          </w:tcPr>
          <w:p w14:paraId="6CC2622B" w14:textId="41CB71E4" w:rsidR="009B6E21" w:rsidRPr="009B6E21" w:rsidRDefault="009B6E21" w:rsidP="009B6E21">
            <w:pPr>
              <w:spacing w:after="0" w:line="207" w:lineRule="atLeast"/>
              <w:jc w:val="right"/>
              <w:rPr>
                <w:rFonts w:ascii="Arial" w:eastAsia="Times New Roman" w:hAnsi="Arial" w:cs="Arial"/>
                <w:color w:val="000000"/>
                <w:sz w:val="18"/>
                <w:szCs w:val="18"/>
                <w:lang w:eastAsia="en-GB"/>
              </w:rPr>
            </w:pPr>
            <w:r w:rsidRPr="009B6E21">
              <w:rPr>
                <w:rFonts w:ascii="Arial" w:eastAsia="Times New Roman" w:hAnsi="Arial" w:cs="Arial"/>
                <w:color w:val="000000"/>
                <w:sz w:val="20"/>
                <w:szCs w:val="20"/>
                <w:lang w:eastAsia="en-GB"/>
              </w:rPr>
              <w:t>8,328</w:t>
            </w:r>
          </w:p>
        </w:tc>
        <w:tc>
          <w:tcPr>
            <w:tcW w:w="1282" w:type="dxa"/>
            <w:tcBorders>
              <w:top w:val="nil"/>
              <w:left w:val="nil"/>
              <w:bottom w:val="dotted" w:sz="8" w:space="0" w:color="auto"/>
              <w:right w:val="dotted" w:sz="8" w:space="0" w:color="auto"/>
            </w:tcBorders>
            <w:shd w:val="clear" w:color="auto" w:fill="auto"/>
            <w:vAlign w:val="bottom"/>
          </w:tcPr>
          <w:p w14:paraId="783CEFF2" w14:textId="6B30A1F0" w:rsidR="009B6E21" w:rsidRPr="00152B94" w:rsidRDefault="00EE060E"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8,328</w:t>
            </w:r>
          </w:p>
        </w:tc>
      </w:tr>
      <w:tr w:rsidR="009B6E21" w:rsidRPr="00152B94" w14:paraId="4455F8F7" w14:textId="77777777" w:rsidTr="00123119">
        <w:trPr>
          <w:trHeight w:val="41"/>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029B9D2A"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color w:val="000000"/>
                <w:sz w:val="20"/>
                <w:szCs w:val="20"/>
                <w:lang w:eastAsia="en-GB"/>
              </w:rPr>
              <w:t>Retained earnings</w:t>
            </w:r>
          </w:p>
        </w:tc>
        <w:tc>
          <w:tcPr>
            <w:tcW w:w="1131" w:type="dxa"/>
            <w:tcBorders>
              <w:top w:val="nil"/>
              <w:left w:val="nil"/>
              <w:bottom w:val="dotted" w:sz="8" w:space="0" w:color="auto"/>
              <w:right w:val="dotted" w:sz="8" w:space="0" w:color="auto"/>
            </w:tcBorders>
            <w:shd w:val="clear" w:color="auto" w:fill="auto"/>
          </w:tcPr>
          <w:p w14:paraId="26E90D0E" w14:textId="0B4E0CC3"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(8,387)</w:t>
            </w:r>
          </w:p>
        </w:tc>
        <w:tc>
          <w:tcPr>
            <w:tcW w:w="1131" w:type="dxa"/>
            <w:tcBorders>
              <w:top w:val="nil"/>
              <w:left w:val="nil"/>
              <w:bottom w:val="dotted" w:sz="8" w:space="0" w:color="auto"/>
              <w:right w:val="dotted" w:sz="8" w:space="0" w:color="auto"/>
            </w:tcBorders>
            <w:shd w:val="clear" w:color="auto" w:fill="auto"/>
            <w:hideMark/>
          </w:tcPr>
          <w:p w14:paraId="55A69FCA" w14:textId="1D2FDEFF" w:rsidR="009B6E21" w:rsidRPr="009B6E21" w:rsidRDefault="009B6E21" w:rsidP="009B6E21">
            <w:pPr>
              <w:spacing w:after="0" w:line="207" w:lineRule="atLeast"/>
              <w:jc w:val="right"/>
              <w:rPr>
                <w:rFonts w:ascii="Arial" w:eastAsia="Times New Roman" w:hAnsi="Arial" w:cs="Arial"/>
                <w:color w:val="000000"/>
                <w:sz w:val="18"/>
                <w:szCs w:val="18"/>
                <w:lang w:eastAsia="en-GB"/>
              </w:rPr>
            </w:pPr>
            <w:r w:rsidRPr="009B6E21">
              <w:rPr>
                <w:rFonts w:ascii="Arial" w:eastAsia="Times New Roman" w:hAnsi="Arial" w:cs="Arial"/>
                <w:color w:val="000000"/>
                <w:sz w:val="20"/>
                <w:szCs w:val="20"/>
                <w:lang w:eastAsia="en-GB"/>
              </w:rPr>
              <w:t>(8,483)</w:t>
            </w:r>
          </w:p>
        </w:tc>
        <w:tc>
          <w:tcPr>
            <w:tcW w:w="1282" w:type="dxa"/>
            <w:tcBorders>
              <w:top w:val="nil"/>
              <w:left w:val="nil"/>
              <w:bottom w:val="dotted" w:sz="8" w:space="0" w:color="auto"/>
              <w:right w:val="dotted" w:sz="8" w:space="0" w:color="auto"/>
            </w:tcBorders>
            <w:shd w:val="clear" w:color="auto" w:fill="auto"/>
            <w:vAlign w:val="bottom"/>
          </w:tcPr>
          <w:p w14:paraId="744CE0B8" w14:textId="4713F7D2" w:rsidR="009B6E21" w:rsidRPr="00152B94" w:rsidRDefault="00EE060E" w:rsidP="009B6E21">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(8,042</w:t>
            </w:r>
          </w:p>
        </w:tc>
      </w:tr>
      <w:tr w:rsidR="009B6E21" w:rsidRPr="002F44AF" w14:paraId="62631B76" w14:textId="77777777" w:rsidTr="00123119">
        <w:trPr>
          <w:trHeight w:val="60"/>
        </w:trPr>
        <w:tc>
          <w:tcPr>
            <w:tcW w:w="5369" w:type="dxa"/>
            <w:tcBorders>
              <w:top w:val="nil"/>
              <w:left w:val="dotted" w:sz="8" w:space="0" w:color="auto"/>
              <w:bottom w:val="dotted" w:sz="8" w:space="0" w:color="auto"/>
              <w:right w:val="dotted" w:sz="8" w:space="0" w:color="auto"/>
            </w:tcBorders>
            <w:shd w:val="clear" w:color="auto" w:fill="auto"/>
            <w:vAlign w:val="bottom"/>
            <w:hideMark/>
          </w:tcPr>
          <w:p w14:paraId="313CFAF7" w14:textId="77777777" w:rsidR="009B6E21" w:rsidRPr="00152B94" w:rsidRDefault="009B6E21" w:rsidP="009B6E21">
            <w:pPr>
              <w:spacing w:after="0" w:line="207" w:lineRule="atLeast"/>
              <w:rPr>
                <w:rFonts w:ascii="Arial" w:eastAsia="Times New Roman" w:hAnsi="Arial" w:cs="Arial"/>
                <w:color w:val="000000"/>
                <w:sz w:val="18"/>
                <w:szCs w:val="18"/>
                <w:lang w:eastAsia="en-GB"/>
              </w:rPr>
            </w:pPr>
            <w:r w:rsidRPr="00152B94">
              <w:rPr>
                <w:rFonts w:ascii="Arial" w:eastAsia="Times New Roman" w:hAnsi="Arial" w:cs="Arial"/>
                <w:b/>
                <w:bCs/>
                <w:color w:val="000000"/>
                <w:sz w:val="20"/>
                <w:szCs w:val="20"/>
                <w:lang w:eastAsia="en-GB"/>
              </w:rPr>
              <w:t>Equity shareholders' funds</w:t>
            </w:r>
          </w:p>
        </w:tc>
        <w:tc>
          <w:tcPr>
            <w:tcW w:w="1131" w:type="dxa"/>
            <w:tcBorders>
              <w:top w:val="nil"/>
              <w:left w:val="nil"/>
              <w:bottom w:val="dotted" w:sz="8" w:space="0" w:color="auto"/>
              <w:right w:val="dotted" w:sz="8" w:space="0" w:color="auto"/>
            </w:tcBorders>
            <w:shd w:val="clear" w:color="auto" w:fill="auto"/>
          </w:tcPr>
          <w:p w14:paraId="0B74AA67" w14:textId="39FE103C" w:rsidR="009B6E21" w:rsidRPr="00152B94" w:rsidRDefault="00C43454" w:rsidP="009B6E21">
            <w:pPr>
              <w:spacing w:after="0" w:line="207" w:lineRule="atLeast"/>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1,314</w:t>
            </w:r>
          </w:p>
        </w:tc>
        <w:tc>
          <w:tcPr>
            <w:tcW w:w="1131" w:type="dxa"/>
            <w:tcBorders>
              <w:top w:val="nil"/>
              <w:left w:val="nil"/>
              <w:bottom w:val="dotted" w:sz="8" w:space="0" w:color="auto"/>
              <w:right w:val="dotted" w:sz="8" w:space="0" w:color="auto"/>
            </w:tcBorders>
            <w:shd w:val="clear" w:color="auto" w:fill="auto"/>
            <w:hideMark/>
          </w:tcPr>
          <w:p w14:paraId="15B9EEA3" w14:textId="73032973" w:rsidR="009B6E21" w:rsidRPr="00152B94" w:rsidRDefault="009B6E21"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1,208</w:t>
            </w:r>
          </w:p>
        </w:tc>
        <w:tc>
          <w:tcPr>
            <w:tcW w:w="1282" w:type="dxa"/>
            <w:tcBorders>
              <w:top w:val="nil"/>
              <w:left w:val="nil"/>
              <w:bottom w:val="dotted" w:sz="8" w:space="0" w:color="auto"/>
              <w:right w:val="dotted" w:sz="8" w:space="0" w:color="auto"/>
            </w:tcBorders>
            <w:shd w:val="clear" w:color="auto" w:fill="auto"/>
            <w:vAlign w:val="bottom"/>
          </w:tcPr>
          <w:p w14:paraId="1904A60E" w14:textId="48E1B97B" w:rsidR="009B6E21" w:rsidRPr="002F44AF" w:rsidRDefault="00EE060E" w:rsidP="009B6E21">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1,649</w:t>
            </w:r>
          </w:p>
        </w:tc>
      </w:tr>
    </w:tbl>
    <w:p w14:paraId="0F215670"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0CFDAEA1" w14:textId="4EEB7EFD" w:rsidR="008D624E" w:rsidRDefault="002C5B2A" w:rsidP="002C5B2A">
      <w:pPr>
        <w:spacing w:after="0" w:line="240" w:lineRule="auto"/>
        <w:rPr>
          <w:rFonts w:ascii="Times New Roman" w:eastAsia="Times New Roman" w:hAnsi="Times New Roman" w:cs="Times New Roman"/>
          <w:color w:val="000000"/>
          <w:sz w:val="27"/>
          <w:szCs w:val="27"/>
          <w:lang w:eastAsia="en-GB"/>
        </w:rPr>
      </w:pPr>
      <w:r w:rsidRPr="002F44AF">
        <w:rPr>
          <w:rFonts w:ascii="Times New Roman" w:eastAsia="Times New Roman" w:hAnsi="Times New Roman" w:cs="Times New Roman"/>
          <w:color w:val="000000"/>
          <w:sz w:val="27"/>
          <w:szCs w:val="27"/>
          <w:lang w:eastAsia="en-GB"/>
        </w:rPr>
        <w:t> </w:t>
      </w:r>
    </w:p>
    <w:p w14:paraId="3B738F85" w14:textId="77777777" w:rsidR="008D624E" w:rsidRDefault="008D624E">
      <w:pPr>
        <w:spacing w:after="160" w:line="259"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br w:type="page"/>
      </w:r>
    </w:p>
    <w:p w14:paraId="7B2102D8" w14:textId="77777777" w:rsidR="002C5B2A" w:rsidRPr="008D624E" w:rsidRDefault="002C5B2A" w:rsidP="002C5B2A">
      <w:pPr>
        <w:spacing w:after="0" w:line="253" w:lineRule="atLeast"/>
        <w:rPr>
          <w:rFonts w:ascii="Calibri" w:eastAsia="Times New Roman" w:hAnsi="Calibri" w:cs="Calibri"/>
          <w:b/>
          <w:bCs/>
          <w:color w:val="000000"/>
          <w:lang w:eastAsia="en-GB"/>
        </w:rPr>
      </w:pPr>
      <w:r w:rsidRPr="008D624E">
        <w:rPr>
          <w:rFonts w:ascii="Arial" w:eastAsia="Times New Roman" w:hAnsi="Arial" w:cs="Arial"/>
          <w:b/>
          <w:bCs/>
          <w:color w:val="000000"/>
          <w:sz w:val="20"/>
          <w:szCs w:val="20"/>
          <w:lang w:eastAsia="en-GB"/>
        </w:rPr>
        <w:lastRenderedPageBreak/>
        <w:t>Consolidated cash flow statement</w:t>
      </w:r>
    </w:p>
    <w:p w14:paraId="3C7706B0" w14:textId="0FD13A35" w:rsidR="002C5B2A" w:rsidRPr="008D624E" w:rsidRDefault="002C5B2A" w:rsidP="002C5B2A">
      <w:pPr>
        <w:spacing w:after="0" w:line="253" w:lineRule="atLeast"/>
        <w:rPr>
          <w:rFonts w:ascii="Calibri" w:eastAsia="Times New Roman" w:hAnsi="Calibri" w:cs="Calibri"/>
          <w:b/>
          <w:bCs/>
          <w:color w:val="000000"/>
          <w:lang w:eastAsia="en-GB"/>
        </w:rPr>
      </w:pPr>
      <w:r w:rsidRPr="008D624E">
        <w:rPr>
          <w:rFonts w:ascii="Arial" w:eastAsia="Times New Roman" w:hAnsi="Arial" w:cs="Arial"/>
          <w:b/>
          <w:bCs/>
          <w:color w:val="000000"/>
          <w:sz w:val="20"/>
          <w:szCs w:val="20"/>
          <w:lang w:eastAsia="en-GB"/>
        </w:rPr>
        <w:t>For the six months ended 31 March 20</w:t>
      </w:r>
      <w:r w:rsidR="003A1383">
        <w:rPr>
          <w:rFonts w:ascii="Arial" w:eastAsia="Times New Roman" w:hAnsi="Arial" w:cs="Arial"/>
          <w:b/>
          <w:bCs/>
          <w:color w:val="000000"/>
          <w:sz w:val="20"/>
          <w:szCs w:val="20"/>
          <w:lang w:eastAsia="en-GB"/>
        </w:rPr>
        <w:t>2</w:t>
      </w:r>
      <w:r w:rsidR="00370F37">
        <w:rPr>
          <w:rFonts w:ascii="Arial" w:eastAsia="Times New Roman" w:hAnsi="Arial" w:cs="Arial"/>
          <w:b/>
          <w:bCs/>
          <w:color w:val="000000"/>
          <w:sz w:val="20"/>
          <w:szCs w:val="20"/>
          <w:lang w:eastAsia="en-GB"/>
        </w:rPr>
        <w:t>2</w:t>
      </w:r>
    </w:p>
    <w:p w14:paraId="3D486F45"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tbl>
      <w:tblPr>
        <w:tblW w:w="9480" w:type="dxa"/>
        <w:tblInd w:w="8" w:type="dxa"/>
        <w:tblCellMar>
          <w:left w:w="0" w:type="dxa"/>
          <w:right w:w="0" w:type="dxa"/>
        </w:tblCellMar>
        <w:tblLook w:val="04A0" w:firstRow="1" w:lastRow="0" w:firstColumn="1" w:lastColumn="0" w:noHBand="0" w:noVBand="1"/>
      </w:tblPr>
      <w:tblGrid>
        <w:gridCol w:w="5230"/>
        <w:gridCol w:w="1415"/>
        <w:gridCol w:w="1417"/>
        <w:gridCol w:w="1418"/>
      </w:tblGrid>
      <w:tr w:rsidR="002C5B2A" w:rsidRPr="00406FCB" w14:paraId="17500BC5" w14:textId="77777777" w:rsidTr="00406FCB">
        <w:trPr>
          <w:trHeight w:val="660"/>
        </w:trPr>
        <w:tc>
          <w:tcPr>
            <w:tcW w:w="5230" w:type="dxa"/>
            <w:tcBorders>
              <w:top w:val="dotted" w:sz="8" w:space="0" w:color="auto"/>
              <w:left w:val="dotted" w:sz="8" w:space="0" w:color="auto"/>
              <w:bottom w:val="dotted" w:sz="8" w:space="0" w:color="auto"/>
              <w:right w:val="dotted" w:sz="8" w:space="0" w:color="auto"/>
            </w:tcBorders>
            <w:vAlign w:val="bottom"/>
            <w:hideMark/>
          </w:tcPr>
          <w:p w14:paraId="1EE18209" w14:textId="77777777" w:rsidR="002C5B2A" w:rsidRPr="002F44AF" w:rsidRDefault="002C5B2A" w:rsidP="00A00BE9">
            <w:pPr>
              <w:spacing w:after="0" w:line="161" w:lineRule="atLeast"/>
              <w:rPr>
                <w:rFonts w:ascii="Arial" w:eastAsia="Times New Roman" w:hAnsi="Arial" w:cs="Arial"/>
                <w:color w:val="000000"/>
                <w:sz w:val="14"/>
                <w:szCs w:val="14"/>
                <w:lang w:eastAsia="en-GB"/>
              </w:rPr>
            </w:pPr>
            <w:r w:rsidRPr="002F44AF">
              <w:rPr>
                <w:rFonts w:ascii="Arial" w:eastAsia="Times New Roman" w:hAnsi="Arial" w:cs="Arial"/>
                <w:color w:val="000000"/>
                <w:sz w:val="14"/>
                <w:szCs w:val="14"/>
                <w:lang w:eastAsia="en-GB"/>
              </w:rPr>
              <w:t> </w:t>
            </w:r>
          </w:p>
        </w:tc>
        <w:tc>
          <w:tcPr>
            <w:tcW w:w="1415" w:type="dxa"/>
            <w:tcBorders>
              <w:top w:val="dotted" w:sz="8" w:space="0" w:color="auto"/>
              <w:left w:val="nil"/>
              <w:bottom w:val="dotted" w:sz="8" w:space="0" w:color="auto"/>
              <w:right w:val="dotted" w:sz="8" w:space="0" w:color="auto"/>
            </w:tcBorders>
            <w:hideMark/>
          </w:tcPr>
          <w:p w14:paraId="4C465030"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Six months</w:t>
            </w:r>
          </w:p>
          <w:p w14:paraId="407F0EC4"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ended</w:t>
            </w:r>
          </w:p>
          <w:p w14:paraId="65663A0F" w14:textId="5F17CB92"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31 March 20</w:t>
            </w:r>
            <w:r w:rsidR="003A1383" w:rsidRPr="00406FCB">
              <w:rPr>
                <w:rFonts w:ascii="Arial" w:eastAsia="Times New Roman" w:hAnsi="Arial" w:cs="Arial"/>
                <w:b/>
                <w:bCs/>
                <w:color w:val="000000"/>
                <w:sz w:val="20"/>
                <w:szCs w:val="20"/>
                <w:lang w:eastAsia="en-GB"/>
              </w:rPr>
              <w:t>2</w:t>
            </w:r>
            <w:r w:rsidR="007D2D71">
              <w:rPr>
                <w:rFonts w:ascii="Arial" w:eastAsia="Times New Roman" w:hAnsi="Arial" w:cs="Arial"/>
                <w:b/>
                <w:bCs/>
                <w:color w:val="000000"/>
                <w:sz w:val="20"/>
                <w:szCs w:val="20"/>
                <w:lang w:eastAsia="en-GB"/>
              </w:rPr>
              <w:t>2</w:t>
            </w:r>
          </w:p>
          <w:p w14:paraId="1DCE4EE2"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(Unaudited)</w:t>
            </w:r>
          </w:p>
          <w:p w14:paraId="0EB4EA21"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£'000</w:t>
            </w:r>
          </w:p>
        </w:tc>
        <w:tc>
          <w:tcPr>
            <w:tcW w:w="1417" w:type="dxa"/>
            <w:tcBorders>
              <w:top w:val="dotted" w:sz="8" w:space="0" w:color="auto"/>
              <w:left w:val="nil"/>
              <w:bottom w:val="dotted" w:sz="8" w:space="0" w:color="auto"/>
              <w:right w:val="dotted" w:sz="8" w:space="0" w:color="auto"/>
            </w:tcBorders>
            <w:vAlign w:val="bottom"/>
            <w:hideMark/>
          </w:tcPr>
          <w:p w14:paraId="6D13EBD6" w14:textId="50E97C66" w:rsidR="002C5B2A" w:rsidRPr="00406FCB" w:rsidRDefault="002C5B2A" w:rsidP="00406FCB">
            <w:pPr>
              <w:spacing w:after="0" w:line="161" w:lineRule="atLeast"/>
              <w:ind w:right="138"/>
              <w:jc w:val="right"/>
              <w:rPr>
                <w:rFonts w:ascii="Arial" w:eastAsia="Times New Roman" w:hAnsi="Arial" w:cs="Arial"/>
                <w:color w:val="000000"/>
                <w:sz w:val="14"/>
                <w:szCs w:val="14"/>
                <w:lang w:eastAsia="en-GB"/>
              </w:rPr>
            </w:pPr>
            <w:r w:rsidRPr="00406FCB">
              <w:rPr>
                <w:rFonts w:ascii="Arial" w:eastAsia="Times New Roman" w:hAnsi="Arial" w:cs="Arial"/>
                <w:b/>
                <w:bCs/>
                <w:color w:val="000000"/>
                <w:sz w:val="20"/>
                <w:szCs w:val="20"/>
                <w:lang w:eastAsia="en-GB"/>
              </w:rPr>
              <w:t>Six months</w:t>
            </w:r>
            <w:r w:rsidR="00406FCB">
              <w:rPr>
                <w:rFonts w:ascii="Arial" w:eastAsia="Times New Roman" w:hAnsi="Arial" w:cs="Arial"/>
                <w:b/>
                <w:bCs/>
                <w:color w:val="000000"/>
                <w:sz w:val="20"/>
                <w:szCs w:val="20"/>
                <w:lang w:eastAsia="en-GB"/>
              </w:rPr>
              <w:t xml:space="preserve"> </w:t>
            </w:r>
            <w:r w:rsidRPr="00406FCB">
              <w:rPr>
                <w:rFonts w:ascii="Arial" w:eastAsia="Times New Roman" w:hAnsi="Arial" w:cs="Arial"/>
                <w:b/>
                <w:bCs/>
                <w:color w:val="000000"/>
                <w:sz w:val="20"/>
                <w:szCs w:val="20"/>
                <w:lang w:eastAsia="en-GB"/>
              </w:rPr>
              <w:t>ended</w:t>
            </w:r>
            <w:r w:rsidR="00406FCB">
              <w:rPr>
                <w:rFonts w:ascii="Arial" w:eastAsia="Times New Roman" w:hAnsi="Arial" w:cs="Arial"/>
                <w:b/>
                <w:bCs/>
                <w:color w:val="000000"/>
                <w:sz w:val="20"/>
                <w:szCs w:val="20"/>
                <w:lang w:eastAsia="en-GB"/>
              </w:rPr>
              <w:t xml:space="preserve"> </w:t>
            </w:r>
            <w:r w:rsidRPr="00406FCB">
              <w:rPr>
                <w:rFonts w:ascii="Arial" w:eastAsia="Times New Roman" w:hAnsi="Arial" w:cs="Arial"/>
                <w:b/>
                <w:bCs/>
                <w:color w:val="000000"/>
                <w:sz w:val="20"/>
                <w:szCs w:val="20"/>
                <w:lang w:eastAsia="en-GB"/>
              </w:rPr>
              <w:t>31 March 20</w:t>
            </w:r>
            <w:r w:rsidR="00406FCB" w:rsidRPr="00406FCB">
              <w:rPr>
                <w:rFonts w:ascii="Arial" w:eastAsia="Times New Roman" w:hAnsi="Arial" w:cs="Arial"/>
                <w:b/>
                <w:bCs/>
                <w:color w:val="000000"/>
                <w:sz w:val="20"/>
                <w:szCs w:val="20"/>
                <w:lang w:eastAsia="en-GB"/>
              </w:rPr>
              <w:t>2</w:t>
            </w:r>
            <w:r w:rsidR="007D2D71">
              <w:rPr>
                <w:rFonts w:ascii="Arial" w:eastAsia="Times New Roman" w:hAnsi="Arial" w:cs="Arial"/>
                <w:b/>
                <w:bCs/>
                <w:color w:val="000000"/>
                <w:sz w:val="20"/>
                <w:szCs w:val="20"/>
                <w:lang w:eastAsia="en-GB"/>
              </w:rPr>
              <w:t>1</w:t>
            </w:r>
            <w:r w:rsidR="00406FCB">
              <w:rPr>
                <w:rFonts w:ascii="Arial" w:eastAsia="Times New Roman" w:hAnsi="Arial" w:cs="Arial"/>
                <w:b/>
                <w:bCs/>
                <w:color w:val="000000"/>
                <w:sz w:val="20"/>
                <w:szCs w:val="20"/>
                <w:lang w:eastAsia="en-GB"/>
              </w:rPr>
              <w:t xml:space="preserve"> </w:t>
            </w:r>
            <w:r w:rsidRPr="00406FCB">
              <w:rPr>
                <w:rFonts w:ascii="Arial" w:eastAsia="Times New Roman" w:hAnsi="Arial" w:cs="Arial"/>
                <w:b/>
                <w:bCs/>
                <w:color w:val="000000"/>
                <w:sz w:val="20"/>
                <w:szCs w:val="20"/>
                <w:lang w:eastAsia="en-GB"/>
              </w:rPr>
              <w:t>(Unaudited)</w:t>
            </w:r>
            <w:r w:rsidR="00406FCB">
              <w:rPr>
                <w:rFonts w:ascii="Arial" w:eastAsia="Times New Roman" w:hAnsi="Arial" w:cs="Arial"/>
                <w:b/>
                <w:bCs/>
                <w:color w:val="000000"/>
                <w:sz w:val="20"/>
                <w:szCs w:val="20"/>
                <w:lang w:eastAsia="en-GB"/>
              </w:rPr>
              <w:t xml:space="preserve"> </w:t>
            </w:r>
            <w:r w:rsidRPr="00406FCB">
              <w:rPr>
                <w:rFonts w:ascii="Arial" w:eastAsia="Times New Roman" w:hAnsi="Arial" w:cs="Arial"/>
                <w:b/>
                <w:bCs/>
                <w:color w:val="000000"/>
                <w:sz w:val="20"/>
                <w:szCs w:val="20"/>
                <w:lang w:eastAsia="en-GB"/>
              </w:rPr>
              <w:t>£'000</w:t>
            </w:r>
          </w:p>
        </w:tc>
        <w:tc>
          <w:tcPr>
            <w:tcW w:w="1418" w:type="dxa"/>
            <w:tcBorders>
              <w:top w:val="dotted" w:sz="8" w:space="0" w:color="auto"/>
              <w:left w:val="nil"/>
              <w:bottom w:val="dotted" w:sz="8" w:space="0" w:color="auto"/>
              <w:right w:val="dotted" w:sz="8" w:space="0" w:color="auto"/>
            </w:tcBorders>
            <w:vAlign w:val="bottom"/>
            <w:hideMark/>
          </w:tcPr>
          <w:p w14:paraId="304B6AF4"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Year ended</w:t>
            </w:r>
          </w:p>
          <w:p w14:paraId="5852D001"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30 September</w:t>
            </w:r>
          </w:p>
          <w:p w14:paraId="7C02AD7F" w14:textId="0BCDCA53"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 20</w:t>
            </w:r>
            <w:r w:rsidR="00406FCB" w:rsidRPr="00406FCB">
              <w:rPr>
                <w:rFonts w:ascii="Arial" w:eastAsia="Times New Roman" w:hAnsi="Arial" w:cs="Arial"/>
                <w:color w:val="000000"/>
                <w:sz w:val="20"/>
                <w:szCs w:val="20"/>
                <w:lang w:eastAsia="en-GB"/>
              </w:rPr>
              <w:t>2</w:t>
            </w:r>
            <w:r w:rsidR="007D2D71">
              <w:rPr>
                <w:rFonts w:ascii="Arial" w:eastAsia="Times New Roman" w:hAnsi="Arial" w:cs="Arial"/>
                <w:color w:val="000000"/>
                <w:sz w:val="20"/>
                <w:szCs w:val="20"/>
                <w:lang w:eastAsia="en-GB"/>
              </w:rPr>
              <w:t>1</w:t>
            </w:r>
          </w:p>
          <w:p w14:paraId="0DC6DA00"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(Audited)</w:t>
            </w:r>
          </w:p>
          <w:p w14:paraId="20A5E507" w14:textId="77777777" w:rsidR="002C5B2A" w:rsidRPr="00406FCB" w:rsidRDefault="002C5B2A" w:rsidP="00A00BE9">
            <w:pPr>
              <w:spacing w:after="0" w:line="161" w:lineRule="atLeast"/>
              <w:jc w:val="right"/>
              <w:rPr>
                <w:rFonts w:ascii="Arial" w:eastAsia="Times New Roman" w:hAnsi="Arial" w:cs="Arial"/>
                <w:color w:val="000000"/>
                <w:sz w:val="14"/>
                <w:szCs w:val="14"/>
                <w:lang w:eastAsia="en-GB"/>
              </w:rPr>
            </w:pPr>
            <w:r w:rsidRPr="00406FCB">
              <w:rPr>
                <w:rFonts w:ascii="Arial" w:eastAsia="Times New Roman" w:hAnsi="Arial" w:cs="Arial"/>
                <w:color w:val="000000"/>
                <w:sz w:val="20"/>
                <w:szCs w:val="20"/>
                <w:lang w:eastAsia="en-GB"/>
              </w:rPr>
              <w:t>£'000</w:t>
            </w:r>
          </w:p>
        </w:tc>
      </w:tr>
      <w:tr w:rsidR="002C5B2A" w:rsidRPr="00406FCB" w14:paraId="10EBE404"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4E05051" w14:textId="77777777" w:rsidR="002C5B2A" w:rsidRPr="00406FCB" w:rsidRDefault="002C5B2A" w:rsidP="00A00BE9">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Cash flows from operating activities</w:t>
            </w:r>
          </w:p>
        </w:tc>
        <w:tc>
          <w:tcPr>
            <w:tcW w:w="1415" w:type="dxa"/>
            <w:tcBorders>
              <w:top w:val="nil"/>
              <w:left w:val="nil"/>
              <w:bottom w:val="dotted" w:sz="8" w:space="0" w:color="auto"/>
              <w:right w:val="dotted" w:sz="8" w:space="0" w:color="auto"/>
            </w:tcBorders>
            <w:hideMark/>
          </w:tcPr>
          <w:p w14:paraId="5C7625C4" w14:textId="77777777" w:rsidR="002C5B2A" w:rsidRPr="00406FCB" w:rsidRDefault="002C5B2A" w:rsidP="00A00BE9">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7" w:type="dxa"/>
            <w:tcBorders>
              <w:top w:val="nil"/>
              <w:left w:val="nil"/>
              <w:bottom w:val="dotted" w:sz="8" w:space="0" w:color="auto"/>
              <w:right w:val="dotted" w:sz="8" w:space="0" w:color="auto"/>
            </w:tcBorders>
            <w:vAlign w:val="bottom"/>
            <w:hideMark/>
          </w:tcPr>
          <w:p w14:paraId="3B93B13C" w14:textId="77777777" w:rsidR="002C5B2A" w:rsidRPr="00406FCB" w:rsidRDefault="002C5B2A" w:rsidP="00A00BE9">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8" w:type="dxa"/>
            <w:tcBorders>
              <w:top w:val="nil"/>
              <w:left w:val="nil"/>
              <w:bottom w:val="dotted" w:sz="8" w:space="0" w:color="auto"/>
              <w:right w:val="dotted" w:sz="8" w:space="0" w:color="auto"/>
            </w:tcBorders>
            <w:vAlign w:val="bottom"/>
            <w:hideMark/>
          </w:tcPr>
          <w:p w14:paraId="2C032D41" w14:textId="77777777" w:rsidR="002C5B2A" w:rsidRPr="00406FCB" w:rsidRDefault="002C5B2A" w:rsidP="00A00BE9">
            <w:pPr>
              <w:spacing w:after="0" w:line="207" w:lineRule="atLeast"/>
              <w:jc w:val="righ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r>
      <w:tr w:rsidR="002D4836" w:rsidRPr="00406FCB" w14:paraId="3CED1DBE"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44973948" w14:textId="10351FE0" w:rsidR="002D4836" w:rsidRPr="00406FCB" w:rsidRDefault="002D4836" w:rsidP="002D4836">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 xml:space="preserve">Operating </w:t>
            </w:r>
            <w:r>
              <w:rPr>
                <w:rFonts w:ascii="Arial" w:eastAsia="Times New Roman" w:hAnsi="Arial" w:cs="Arial"/>
                <w:color w:val="000000"/>
                <w:sz w:val="20"/>
                <w:szCs w:val="20"/>
                <w:lang w:eastAsia="en-GB"/>
              </w:rPr>
              <w:t>(loss)/p</w:t>
            </w:r>
            <w:r w:rsidRPr="00406FCB">
              <w:rPr>
                <w:rFonts w:ascii="Arial" w:eastAsia="Times New Roman" w:hAnsi="Arial" w:cs="Arial"/>
                <w:color w:val="000000"/>
                <w:sz w:val="20"/>
                <w:szCs w:val="20"/>
                <w:lang w:eastAsia="en-GB"/>
              </w:rPr>
              <w:t>rofit</w:t>
            </w:r>
          </w:p>
        </w:tc>
        <w:tc>
          <w:tcPr>
            <w:tcW w:w="1415" w:type="dxa"/>
            <w:tcBorders>
              <w:top w:val="nil"/>
              <w:left w:val="nil"/>
              <w:bottom w:val="dotted" w:sz="8" w:space="0" w:color="auto"/>
              <w:right w:val="dotted" w:sz="8" w:space="0" w:color="auto"/>
            </w:tcBorders>
          </w:tcPr>
          <w:p w14:paraId="787D5219" w14:textId="6D5B4330" w:rsidR="002D4836" w:rsidRPr="00406FCB" w:rsidRDefault="005D7912" w:rsidP="002D4836">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(345)</w:t>
            </w:r>
          </w:p>
        </w:tc>
        <w:tc>
          <w:tcPr>
            <w:tcW w:w="1417" w:type="dxa"/>
            <w:tcBorders>
              <w:top w:val="nil"/>
              <w:left w:val="nil"/>
              <w:bottom w:val="dotted" w:sz="8" w:space="0" w:color="auto"/>
              <w:right w:val="dotted" w:sz="8" w:space="0" w:color="auto"/>
            </w:tcBorders>
            <w:hideMark/>
          </w:tcPr>
          <w:p w14:paraId="7AC38C34" w14:textId="12DF4AAE" w:rsidR="002D4836" w:rsidRPr="007D2D71" w:rsidRDefault="002D4836" w:rsidP="002D4836">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(201)</w:t>
            </w:r>
          </w:p>
        </w:tc>
        <w:tc>
          <w:tcPr>
            <w:tcW w:w="1418" w:type="dxa"/>
            <w:tcBorders>
              <w:top w:val="nil"/>
              <w:left w:val="nil"/>
              <w:bottom w:val="dotted" w:sz="8" w:space="0" w:color="auto"/>
              <w:right w:val="dotted" w:sz="8" w:space="0" w:color="auto"/>
            </w:tcBorders>
            <w:vAlign w:val="bottom"/>
          </w:tcPr>
          <w:p w14:paraId="3AE6A24C" w14:textId="009DB3A4" w:rsidR="002D4836" w:rsidRPr="00406FCB" w:rsidRDefault="001A6CDF" w:rsidP="002D4836">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189</w:t>
            </w:r>
          </w:p>
        </w:tc>
      </w:tr>
      <w:tr w:rsidR="002D4836" w:rsidRPr="00406FCB" w14:paraId="35117C81"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6F9ADD95" w14:textId="77777777" w:rsidR="002D4836" w:rsidRPr="00406FCB" w:rsidRDefault="002D4836" w:rsidP="002D4836">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Adjustments for:</w:t>
            </w:r>
          </w:p>
        </w:tc>
        <w:tc>
          <w:tcPr>
            <w:tcW w:w="1415" w:type="dxa"/>
            <w:tcBorders>
              <w:top w:val="nil"/>
              <w:left w:val="nil"/>
              <w:bottom w:val="dotted" w:sz="8" w:space="0" w:color="auto"/>
              <w:right w:val="dotted" w:sz="8" w:space="0" w:color="auto"/>
            </w:tcBorders>
          </w:tcPr>
          <w:p w14:paraId="23339BFC" w14:textId="69877B6E" w:rsidR="002D4836" w:rsidRPr="00406FCB" w:rsidRDefault="002D4836" w:rsidP="002D4836">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0DF3D9F5" w14:textId="26BFF911" w:rsidR="002D4836" w:rsidRPr="007D2D71" w:rsidRDefault="002D4836" w:rsidP="002D4836">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5EFD4373" w14:textId="5BBBB054" w:rsidR="002D4836" w:rsidRPr="00406FCB" w:rsidRDefault="002D4836" w:rsidP="002D4836">
            <w:pPr>
              <w:spacing w:after="0" w:line="207" w:lineRule="atLeast"/>
              <w:jc w:val="right"/>
              <w:rPr>
                <w:rFonts w:ascii="Arial" w:eastAsia="Times New Roman" w:hAnsi="Arial" w:cs="Arial"/>
                <w:color w:val="000000"/>
                <w:sz w:val="18"/>
                <w:szCs w:val="18"/>
                <w:lang w:eastAsia="en-GB"/>
              </w:rPr>
            </w:pPr>
          </w:p>
        </w:tc>
      </w:tr>
      <w:tr w:rsidR="002D4836" w:rsidRPr="00406FCB" w14:paraId="1E9B5D56"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AE21FA6" w14:textId="77777777" w:rsidR="002D4836" w:rsidRPr="00406FCB" w:rsidRDefault="002D4836" w:rsidP="002D4836">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Depreciation</w:t>
            </w:r>
          </w:p>
        </w:tc>
        <w:tc>
          <w:tcPr>
            <w:tcW w:w="1415" w:type="dxa"/>
            <w:tcBorders>
              <w:top w:val="nil"/>
              <w:left w:val="nil"/>
              <w:bottom w:val="dotted" w:sz="8" w:space="0" w:color="auto"/>
              <w:right w:val="dotted" w:sz="8" w:space="0" w:color="auto"/>
            </w:tcBorders>
          </w:tcPr>
          <w:p w14:paraId="4FE52BC0" w14:textId="612D8CAF" w:rsidR="002D4836" w:rsidRPr="00406FCB" w:rsidRDefault="005D7912" w:rsidP="002D4836">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w:t>
            </w:r>
          </w:p>
        </w:tc>
        <w:tc>
          <w:tcPr>
            <w:tcW w:w="1417" w:type="dxa"/>
            <w:tcBorders>
              <w:top w:val="nil"/>
              <w:left w:val="nil"/>
              <w:bottom w:val="dotted" w:sz="8" w:space="0" w:color="auto"/>
              <w:right w:val="dotted" w:sz="8" w:space="0" w:color="auto"/>
            </w:tcBorders>
            <w:hideMark/>
          </w:tcPr>
          <w:p w14:paraId="25CC35C0" w14:textId="1CFB5DF0" w:rsidR="002D4836" w:rsidRPr="007D2D71" w:rsidRDefault="002D4836" w:rsidP="002D4836">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10</w:t>
            </w:r>
          </w:p>
        </w:tc>
        <w:tc>
          <w:tcPr>
            <w:tcW w:w="1418" w:type="dxa"/>
            <w:tcBorders>
              <w:top w:val="nil"/>
              <w:left w:val="nil"/>
              <w:bottom w:val="dotted" w:sz="8" w:space="0" w:color="auto"/>
              <w:right w:val="dotted" w:sz="8" w:space="0" w:color="auto"/>
            </w:tcBorders>
            <w:vAlign w:val="bottom"/>
          </w:tcPr>
          <w:p w14:paraId="2636C7CA" w14:textId="33C5476B" w:rsidR="002D4836" w:rsidRPr="00406FCB" w:rsidRDefault="001A6CDF" w:rsidP="002D4836">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w:t>
            </w:r>
          </w:p>
        </w:tc>
      </w:tr>
      <w:tr w:rsidR="001A6CDF" w:rsidRPr="00406FCB" w14:paraId="0F1A5946" w14:textId="77777777" w:rsidTr="00406FCB">
        <w:trPr>
          <w:trHeight w:val="60"/>
        </w:trPr>
        <w:tc>
          <w:tcPr>
            <w:tcW w:w="5230" w:type="dxa"/>
            <w:tcBorders>
              <w:top w:val="nil"/>
              <w:left w:val="dotted" w:sz="8" w:space="0" w:color="auto"/>
              <w:bottom w:val="dotted" w:sz="8" w:space="0" w:color="auto"/>
              <w:right w:val="dotted" w:sz="8" w:space="0" w:color="auto"/>
            </w:tcBorders>
            <w:vAlign w:val="bottom"/>
          </w:tcPr>
          <w:p w14:paraId="574C7585" w14:textId="6F7981C5" w:rsidR="001A6CDF" w:rsidRPr="00406FCB" w:rsidRDefault="001A6CDF" w:rsidP="002D4836">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Amortisation of Intangibles</w:t>
            </w:r>
          </w:p>
        </w:tc>
        <w:tc>
          <w:tcPr>
            <w:tcW w:w="1415" w:type="dxa"/>
            <w:tcBorders>
              <w:top w:val="nil"/>
              <w:left w:val="nil"/>
              <w:bottom w:val="dotted" w:sz="8" w:space="0" w:color="auto"/>
              <w:right w:val="dotted" w:sz="8" w:space="0" w:color="auto"/>
            </w:tcBorders>
          </w:tcPr>
          <w:p w14:paraId="2B4566AE" w14:textId="29AF1F9C" w:rsidR="001A6CDF" w:rsidRPr="00406FCB" w:rsidRDefault="005D7912" w:rsidP="002D4836">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12</w:t>
            </w:r>
          </w:p>
        </w:tc>
        <w:tc>
          <w:tcPr>
            <w:tcW w:w="1417" w:type="dxa"/>
            <w:tcBorders>
              <w:top w:val="nil"/>
              <w:left w:val="nil"/>
              <w:bottom w:val="dotted" w:sz="8" w:space="0" w:color="auto"/>
              <w:right w:val="dotted" w:sz="8" w:space="0" w:color="auto"/>
            </w:tcBorders>
          </w:tcPr>
          <w:p w14:paraId="2080E240" w14:textId="3C3D7234" w:rsidR="001A6CDF" w:rsidRPr="007D2D71" w:rsidRDefault="001A6CDF" w:rsidP="002D4836">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t>
            </w:r>
          </w:p>
        </w:tc>
        <w:tc>
          <w:tcPr>
            <w:tcW w:w="1418" w:type="dxa"/>
            <w:tcBorders>
              <w:top w:val="nil"/>
              <w:left w:val="nil"/>
              <w:bottom w:val="dotted" w:sz="8" w:space="0" w:color="auto"/>
              <w:right w:val="dotted" w:sz="8" w:space="0" w:color="auto"/>
            </w:tcBorders>
            <w:vAlign w:val="bottom"/>
          </w:tcPr>
          <w:p w14:paraId="0B747E34" w14:textId="35D9B69A" w:rsidR="001A6CDF" w:rsidRPr="00406FCB" w:rsidRDefault="001A6CDF" w:rsidP="002D4836">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19</w:t>
            </w:r>
          </w:p>
        </w:tc>
      </w:tr>
      <w:tr w:rsidR="002D4836" w:rsidRPr="00406FCB" w14:paraId="5C4833DD"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4958749F" w14:textId="77777777" w:rsidR="002D4836" w:rsidRPr="00406FCB" w:rsidRDefault="002D4836" w:rsidP="002D4836">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Impairment of inventories</w:t>
            </w:r>
          </w:p>
        </w:tc>
        <w:tc>
          <w:tcPr>
            <w:tcW w:w="1415" w:type="dxa"/>
            <w:tcBorders>
              <w:top w:val="nil"/>
              <w:left w:val="nil"/>
              <w:bottom w:val="dotted" w:sz="8" w:space="0" w:color="auto"/>
              <w:right w:val="dotted" w:sz="8" w:space="0" w:color="auto"/>
            </w:tcBorders>
          </w:tcPr>
          <w:p w14:paraId="617EE36F" w14:textId="463D18BB" w:rsidR="002D4836" w:rsidRPr="00406FCB" w:rsidRDefault="005D7912" w:rsidP="002D4836">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5</w:t>
            </w:r>
          </w:p>
        </w:tc>
        <w:tc>
          <w:tcPr>
            <w:tcW w:w="1417" w:type="dxa"/>
            <w:tcBorders>
              <w:top w:val="nil"/>
              <w:left w:val="nil"/>
              <w:bottom w:val="dotted" w:sz="8" w:space="0" w:color="auto"/>
              <w:right w:val="dotted" w:sz="8" w:space="0" w:color="auto"/>
            </w:tcBorders>
            <w:hideMark/>
          </w:tcPr>
          <w:p w14:paraId="5BE7F3D6" w14:textId="6D15126D" w:rsidR="002D4836" w:rsidRPr="007D2D71" w:rsidRDefault="002D4836" w:rsidP="002D4836">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9</w:t>
            </w:r>
          </w:p>
        </w:tc>
        <w:tc>
          <w:tcPr>
            <w:tcW w:w="1418" w:type="dxa"/>
            <w:tcBorders>
              <w:top w:val="nil"/>
              <w:left w:val="nil"/>
              <w:bottom w:val="dotted" w:sz="8" w:space="0" w:color="auto"/>
              <w:right w:val="dotted" w:sz="8" w:space="0" w:color="auto"/>
            </w:tcBorders>
            <w:vAlign w:val="bottom"/>
          </w:tcPr>
          <w:p w14:paraId="6C8242C3" w14:textId="1CA2E170" w:rsidR="002D4836" w:rsidRPr="00406FCB" w:rsidRDefault="001A6CDF" w:rsidP="002D4836">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t>
            </w:r>
          </w:p>
        </w:tc>
      </w:tr>
      <w:tr w:rsidR="002D4836" w:rsidRPr="00406FCB" w14:paraId="54C42689" w14:textId="77777777" w:rsidTr="00406FCB">
        <w:trPr>
          <w:trHeight w:val="60"/>
        </w:trPr>
        <w:tc>
          <w:tcPr>
            <w:tcW w:w="5230" w:type="dxa"/>
            <w:tcBorders>
              <w:top w:val="nil"/>
              <w:left w:val="dotted" w:sz="8" w:space="0" w:color="auto"/>
              <w:bottom w:val="dotted" w:sz="8" w:space="0" w:color="auto"/>
              <w:right w:val="dotted" w:sz="8" w:space="0" w:color="auto"/>
            </w:tcBorders>
            <w:vAlign w:val="bottom"/>
          </w:tcPr>
          <w:p w14:paraId="17986EAA" w14:textId="35B357D6" w:rsidR="002D4836" w:rsidRPr="00406FCB" w:rsidRDefault="002D4836" w:rsidP="002D4836">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Amortisation of </w:t>
            </w:r>
            <w:r w:rsidR="001A6CDF">
              <w:rPr>
                <w:rFonts w:ascii="Arial" w:eastAsia="Times New Roman" w:hAnsi="Arial" w:cs="Arial"/>
                <w:color w:val="000000"/>
                <w:sz w:val="20"/>
                <w:szCs w:val="20"/>
                <w:lang w:eastAsia="en-GB"/>
              </w:rPr>
              <w:t>right of use asset</w:t>
            </w:r>
          </w:p>
        </w:tc>
        <w:tc>
          <w:tcPr>
            <w:tcW w:w="1415" w:type="dxa"/>
            <w:tcBorders>
              <w:top w:val="nil"/>
              <w:left w:val="nil"/>
              <w:bottom w:val="dotted" w:sz="8" w:space="0" w:color="auto"/>
              <w:right w:val="dotted" w:sz="8" w:space="0" w:color="auto"/>
            </w:tcBorders>
          </w:tcPr>
          <w:p w14:paraId="4DDA2D20" w14:textId="4A62F235" w:rsidR="002D4836" w:rsidRPr="00406FCB" w:rsidRDefault="005D7912" w:rsidP="002D4836">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w:t>
            </w:r>
            <w:r w:rsidR="00B80E82">
              <w:rPr>
                <w:rFonts w:ascii="Arial" w:eastAsia="Times New Roman" w:hAnsi="Arial" w:cs="Arial"/>
                <w:b/>
                <w:bCs/>
                <w:color w:val="000000"/>
                <w:sz w:val="18"/>
                <w:szCs w:val="18"/>
                <w:lang w:eastAsia="en-GB"/>
              </w:rPr>
              <w:t>3</w:t>
            </w:r>
          </w:p>
        </w:tc>
        <w:tc>
          <w:tcPr>
            <w:tcW w:w="1417" w:type="dxa"/>
            <w:tcBorders>
              <w:top w:val="nil"/>
              <w:left w:val="nil"/>
              <w:bottom w:val="dotted" w:sz="8" w:space="0" w:color="auto"/>
              <w:right w:val="dotted" w:sz="8" w:space="0" w:color="auto"/>
            </w:tcBorders>
          </w:tcPr>
          <w:p w14:paraId="4601F566" w14:textId="713B0DBC" w:rsidR="002D4836" w:rsidRPr="007D2D71" w:rsidRDefault="002D4836" w:rsidP="002D4836">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21</w:t>
            </w:r>
          </w:p>
        </w:tc>
        <w:tc>
          <w:tcPr>
            <w:tcW w:w="1418" w:type="dxa"/>
            <w:tcBorders>
              <w:top w:val="nil"/>
              <w:left w:val="nil"/>
              <w:bottom w:val="dotted" w:sz="8" w:space="0" w:color="auto"/>
              <w:right w:val="dotted" w:sz="8" w:space="0" w:color="auto"/>
            </w:tcBorders>
            <w:vAlign w:val="bottom"/>
          </w:tcPr>
          <w:p w14:paraId="54301C8D" w14:textId="7252F95B" w:rsidR="002D4836" w:rsidRDefault="001A6CDF" w:rsidP="002D4836">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43</w:t>
            </w:r>
          </w:p>
        </w:tc>
      </w:tr>
      <w:tr w:rsidR="002D4836" w:rsidRPr="00406FCB" w14:paraId="77CFD8E5"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58FA9D65" w14:textId="3C038E30" w:rsidR="002D4836" w:rsidRPr="00C2796C" w:rsidRDefault="002D4836" w:rsidP="002D4836">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(Decrease)/i</w:t>
            </w:r>
            <w:r w:rsidRPr="00406FCB">
              <w:rPr>
                <w:rFonts w:ascii="Arial" w:eastAsia="Times New Roman" w:hAnsi="Arial" w:cs="Arial"/>
                <w:color w:val="000000"/>
                <w:sz w:val="20"/>
                <w:szCs w:val="20"/>
                <w:lang w:eastAsia="en-GB"/>
              </w:rPr>
              <w:t>ncrease</w:t>
            </w:r>
            <w:r>
              <w:rPr>
                <w:rFonts w:ascii="Arial" w:eastAsia="Times New Roman" w:hAnsi="Arial" w:cs="Arial"/>
                <w:color w:val="000000"/>
                <w:sz w:val="20"/>
                <w:szCs w:val="20"/>
                <w:lang w:eastAsia="en-GB"/>
              </w:rPr>
              <w:t xml:space="preserve"> </w:t>
            </w:r>
            <w:r w:rsidRPr="00406FCB">
              <w:rPr>
                <w:rFonts w:ascii="Arial" w:eastAsia="Times New Roman" w:hAnsi="Arial" w:cs="Arial"/>
                <w:color w:val="000000"/>
                <w:sz w:val="20"/>
                <w:szCs w:val="20"/>
                <w:lang w:eastAsia="en-GB"/>
              </w:rPr>
              <w:t>in provision for warranty</w:t>
            </w:r>
          </w:p>
        </w:tc>
        <w:tc>
          <w:tcPr>
            <w:tcW w:w="1415" w:type="dxa"/>
            <w:tcBorders>
              <w:top w:val="nil"/>
              <w:left w:val="nil"/>
              <w:bottom w:val="dotted" w:sz="8" w:space="0" w:color="auto"/>
              <w:right w:val="dotted" w:sz="8" w:space="0" w:color="auto"/>
            </w:tcBorders>
          </w:tcPr>
          <w:p w14:paraId="21750C0D" w14:textId="7AE4A4C9" w:rsidR="002D4836" w:rsidRPr="00406FCB" w:rsidRDefault="005D7912" w:rsidP="002D4836">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(13)</w:t>
            </w:r>
          </w:p>
        </w:tc>
        <w:tc>
          <w:tcPr>
            <w:tcW w:w="1417" w:type="dxa"/>
            <w:tcBorders>
              <w:top w:val="nil"/>
              <w:left w:val="nil"/>
              <w:bottom w:val="dotted" w:sz="8" w:space="0" w:color="auto"/>
              <w:right w:val="dotted" w:sz="8" w:space="0" w:color="auto"/>
            </w:tcBorders>
            <w:hideMark/>
          </w:tcPr>
          <w:p w14:paraId="225C18D4" w14:textId="4645EBD5" w:rsidR="002D4836" w:rsidRPr="007D2D71" w:rsidRDefault="002D4836" w:rsidP="002D4836">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(9)</w:t>
            </w:r>
          </w:p>
        </w:tc>
        <w:tc>
          <w:tcPr>
            <w:tcW w:w="1418" w:type="dxa"/>
            <w:tcBorders>
              <w:top w:val="nil"/>
              <w:left w:val="nil"/>
              <w:bottom w:val="dotted" w:sz="8" w:space="0" w:color="auto"/>
              <w:right w:val="dotted" w:sz="8" w:space="0" w:color="auto"/>
            </w:tcBorders>
            <w:vAlign w:val="bottom"/>
          </w:tcPr>
          <w:p w14:paraId="42314925" w14:textId="16397516" w:rsidR="002D4836" w:rsidRPr="00406FCB" w:rsidRDefault="001A6CDF" w:rsidP="002D4836">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12</w:t>
            </w:r>
          </w:p>
        </w:tc>
      </w:tr>
      <w:tr w:rsidR="001A6CDF" w:rsidRPr="00406FCB" w14:paraId="560721A9"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BC0BBD4" w14:textId="3748E42A" w:rsidR="001A6CDF" w:rsidRPr="00A65E45" w:rsidRDefault="00B818D9" w:rsidP="001A6CDF">
            <w:pPr>
              <w:spacing w:after="0" w:line="207" w:lineRule="atLeast"/>
              <w:rPr>
                <w:rFonts w:ascii="Arial" w:eastAsia="Times New Roman" w:hAnsi="Arial" w:cs="Arial"/>
                <w:color w:val="000000"/>
                <w:sz w:val="18"/>
                <w:szCs w:val="18"/>
                <w:lang w:eastAsia="en-GB"/>
              </w:rPr>
            </w:pPr>
            <w:r>
              <w:rPr>
                <w:rFonts w:ascii="Arial" w:eastAsia="Times New Roman" w:hAnsi="Arial" w:cs="Arial"/>
                <w:color w:val="000000"/>
                <w:sz w:val="20"/>
                <w:szCs w:val="20"/>
                <w:lang w:eastAsia="en-GB"/>
              </w:rPr>
              <w:t>(</w:t>
            </w:r>
            <w:r w:rsidR="005D7912" w:rsidRPr="00A65E45">
              <w:rPr>
                <w:rFonts w:ascii="Arial" w:eastAsia="Times New Roman" w:hAnsi="Arial" w:cs="Arial"/>
                <w:color w:val="000000"/>
                <w:sz w:val="20"/>
                <w:szCs w:val="20"/>
                <w:lang w:eastAsia="en-GB"/>
              </w:rPr>
              <w:t>Increase</w:t>
            </w:r>
            <w:r>
              <w:rPr>
                <w:rFonts w:ascii="Arial" w:eastAsia="Times New Roman" w:hAnsi="Arial" w:cs="Arial"/>
                <w:color w:val="000000"/>
                <w:sz w:val="20"/>
                <w:szCs w:val="20"/>
                <w:lang w:eastAsia="en-GB"/>
              </w:rPr>
              <w:t>)</w:t>
            </w:r>
            <w:r w:rsidR="005D7912" w:rsidRPr="00A65E45">
              <w:rPr>
                <w:rFonts w:ascii="Arial" w:eastAsia="Times New Roman" w:hAnsi="Arial" w:cs="Arial"/>
                <w:color w:val="000000"/>
                <w:sz w:val="20"/>
                <w:szCs w:val="20"/>
                <w:lang w:eastAsia="en-GB"/>
              </w:rPr>
              <w:t>/d</w:t>
            </w:r>
            <w:r w:rsidR="001A6CDF" w:rsidRPr="00A65E45">
              <w:rPr>
                <w:rFonts w:ascii="Arial" w:eastAsia="Times New Roman" w:hAnsi="Arial" w:cs="Arial"/>
                <w:color w:val="000000"/>
                <w:sz w:val="20"/>
                <w:szCs w:val="20"/>
                <w:lang w:eastAsia="en-GB"/>
              </w:rPr>
              <w:t>ecrease in inventories</w:t>
            </w:r>
          </w:p>
        </w:tc>
        <w:tc>
          <w:tcPr>
            <w:tcW w:w="1415" w:type="dxa"/>
            <w:tcBorders>
              <w:top w:val="nil"/>
              <w:left w:val="nil"/>
              <w:bottom w:val="dotted" w:sz="8" w:space="0" w:color="auto"/>
              <w:right w:val="dotted" w:sz="8" w:space="0" w:color="auto"/>
            </w:tcBorders>
          </w:tcPr>
          <w:p w14:paraId="2BF2B0EC" w14:textId="44B4B64B" w:rsidR="001A6CDF" w:rsidRPr="00406FCB" w:rsidRDefault="005D791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(196)</w:t>
            </w:r>
          </w:p>
        </w:tc>
        <w:tc>
          <w:tcPr>
            <w:tcW w:w="1417" w:type="dxa"/>
            <w:tcBorders>
              <w:top w:val="nil"/>
              <w:left w:val="nil"/>
              <w:bottom w:val="dotted" w:sz="8" w:space="0" w:color="auto"/>
              <w:right w:val="dotted" w:sz="8" w:space="0" w:color="auto"/>
            </w:tcBorders>
            <w:hideMark/>
          </w:tcPr>
          <w:p w14:paraId="187A1FC9" w14:textId="42205CC7" w:rsidR="001A6CDF" w:rsidRPr="007D2D71" w:rsidRDefault="001A6CDF" w:rsidP="001A6CDF">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75</w:t>
            </w:r>
          </w:p>
        </w:tc>
        <w:tc>
          <w:tcPr>
            <w:tcW w:w="1418" w:type="dxa"/>
            <w:tcBorders>
              <w:top w:val="nil"/>
              <w:left w:val="nil"/>
              <w:bottom w:val="dotted" w:sz="8" w:space="0" w:color="auto"/>
              <w:right w:val="dotted" w:sz="8" w:space="0" w:color="auto"/>
            </w:tcBorders>
            <w:vAlign w:val="bottom"/>
          </w:tcPr>
          <w:p w14:paraId="20221187" w14:textId="446B87F1" w:rsidR="001A6CDF" w:rsidRPr="00406FCB" w:rsidRDefault="001A6CDF" w:rsidP="001A6CDF">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57</w:t>
            </w:r>
          </w:p>
        </w:tc>
      </w:tr>
      <w:tr w:rsidR="001A6CDF" w:rsidRPr="00406FCB" w14:paraId="644D8976" w14:textId="77777777" w:rsidTr="00406FCB">
        <w:tc>
          <w:tcPr>
            <w:tcW w:w="5230" w:type="dxa"/>
            <w:tcBorders>
              <w:top w:val="nil"/>
              <w:left w:val="dotted" w:sz="8" w:space="0" w:color="auto"/>
              <w:bottom w:val="dotted" w:sz="8" w:space="0" w:color="auto"/>
              <w:right w:val="dotted" w:sz="8" w:space="0" w:color="auto"/>
            </w:tcBorders>
            <w:vAlign w:val="bottom"/>
            <w:hideMark/>
          </w:tcPr>
          <w:p w14:paraId="6AA34462" w14:textId="050E3568" w:rsidR="001A6CDF" w:rsidRPr="00A65E45" w:rsidRDefault="00370F37" w:rsidP="001A6CDF">
            <w:pPr>
              <w:spacing w:after="0" w:line="207" w:lineRule="atLeast"/>
              <w:rPr>
                <w:rFonts w:ascii="Arial" w:eastAsia="Times New Roman" w:hAnsi="Arial" w:cs="Arial"/>
                <w:color w:val="000000"/>
                <w:sz w:val="18"/>
                <w:szCs w:val="18"/>
                <w:lang w:eastAsia="en-GB"/>
              </w:rPr>
            </w:pPr>
            <w:r>
              <w:rPr>
                <w:rFonts w:ascii="Arial" w:eastAsia="Times New Roman" w:hAnsi="Arial" w:cs="Arial"/>
                <w:color w:val="000000"/>
                <w:sz w:val="20"/>
                <w:szCs w:val="20"/>
                <w:lang w:eastAsia="en-GB"/>
              </w:rPr>
              <w:t>D</w:t>
            </w:r>
            <w:r w:rsidR="001A6CDF" w:rsidRPr="00A65E45">
              <w:rPr>
                <w:rFonts w:ascii="Arial" w:eastAsia="Times New Roman" w:hAnsi="Arial" w:cs="Arial"/>
                <w:color w:val="000000"/>
                <w:sz w:val="20"/>
                <w:szCs w:val="20"/>
                <w:lang w:eastAsia="en-GB"/>
              </w:rPr>
              <w:t>ecrease</w:t>
            </w:r>
            <w:r>
              <w:rPr>
                <w:rFonts w:ascii="Arial" w:eastAsia="Times New Roman" w:hAnsi="Arial" w:cs="Arial"/>
                <w:color w:val="000000"/>
                <w:sz w:val="20"/>
                <w:szCs w:val="20"/>
                <w:lang w:eastAsia="en-GB"/>
              </w:rPr>
              <w:t>/(increase)</w:t>
            </w:r>
            <w:r w:rsidR="001A6CDF" w:rsidRPr="00A65E45">
              <w:rPr>
                <w:rFonts w:ascii="Arial" w:eastAsia="Times New Roman" w:hAnsi="Arial" w:cs="Arial"/>
                <w:color w:val="000000"/>
                <w:sz w:val="20"/>
                <w:szCs w:val="20"/>
                <w:lang w:eastAsia="en-GB"/>
              </w:rPr>
              <w:t xml:space="preserve"> in trade and other receivables</w:t>
            </w:r>
          </w:p>
        </w:tc>
        <w:tc>
          <w:tcPr>
            <w:tcW w:w="1415" w:type="dxa"/>
            <w:tcBorders>
              <w:top w:val="nil"/>
              <w:left w:val="nil"/>
              <w:bottom w:val="dotted" w:sz="8" w:space="0" w:color="auto"/>
              <w:right w:val="dotted" w:sz="8" w:space="0" w:color="auto"/>
            </w:tcBorders>
          </w:tcPr>
          <w:p w14:paraId="14834456" w14:textId="026CAA1F" w:rsidR="001A6CDF" w:rsidRPr="00406FCB" w:rsidRDefault="005D791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14</w:t>
            </w:r>
            <w:r w:rsidR="00A65E45">
              <w:rPr>
                <w:rFonts w:ascii="Arial" w:eastAsia="Times New Roman" w:hAnsi="Arial" w:cs="Arial"/>
                <w:b/>
                <w:bCs/>
                <w:color w:val="000000"/>
                <w:sz w:val="18"/>
                <w:szCs w:val="18"/>
                <w:lang w:eastAsia="en-GB"/>
              </w:rPr>
              <w:t>8</w:t>
            </w:r>
          </w:p>
        </w:tc>
        <w:tc>
          <w:tcPr>
            <w:tcW w:w="1417" w:type="dxa"/>
            <w:tcBorders>
              <w:top w:val="nil"/>
              <w:left w:val="nil"/>
              <w:bottom w:val="dotted" w:sz="8" w:space="0" w:color="auto"/>
              <w:right w:val="dotted" w:sz="8" w:space="0" w:color="auto"/>
            </w:tcBorders>
            <w:hideMark/>
          </w:tcPr>
          <w:p w14:paraId="0AE15DD4" w14:textId="43EFD0B2" w:rsidR="001A6CDF" w:rsidRPr="007D2D71" w:rsidRDefault="001A6CDF" w:rsidP="001A6CDF">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(90)</w:t>
            </w:r>
          </w:p>
        </w:tc>
        <w:tc>
          <w:tcPr>
            <w:tcW w:w="1418" w:type="dxa"/>
            <w:tcBorders>
              <w:top w:val="nil"/>
              <w:left w:val="nil"/>
              <w:bottom w:val="dotted" w:sz="8" w:space="0" w:color="auto"/>
              <w:right w:val="dotted" w:sz="8" w:space="0" w:color="auto"/>
            </w:tcBorders>
            <w:vAlign w:val="bottom"/>
          </w:tcPr>
          <w:p w14:paraId="02D9458B" w14:textId="6C4B077C" w:rsidR="001A6CDF" w:rsidRPr="00406FCB" w:rsidRDefault="001A6CDF" w:rsidP="001A6CDF">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(426)</w:t>
            </w:r>
          </w:p>
        </w:tc>
      </w:tr>
      <w:tr w:rsidR="001A6CDF" w:rsidRPr="00406FCB" w14:paraId="519B8424" w14:textId="77777777" w:rsidTr="00406FCB">
        <w:trPr>
          <w:trHeight w:val="50"/>
        </w:trPr>
        <w:tc>
          <w:tcPr>
            <w:tcW w:w="5230" w:type="dxa"/>
            <w:tcBorders>
              <w:top w:val="nil"/>
              <w:left w:val="dotted" w:sz="8" w:space="0" w:color="auto"/>
              <w:bottom w:val="dotted" w:sz="8" w:space="0" w:color="auto"/>
              <w:right w:val="dotted" w:sz="8" w:space="0" w:color="auto"/>
            </w:tcBorders>
            <w:vAlign w:val="bottom"/>
            <w:hideMark/>
          </w:tcPr>
          <w:p w14:paraId="0D9F54E8" w14:textId="3BB00098" w:rsidR="001A6CDF" w:rsidRPr="000B4785" w:rsidRDefault="00370F37" w:rsidP="001A6CDF">
            <w:pPr>
              <w:spacing w:after="0" w:line="207" w:lineRule="atLeast"/>
              <w:rPr>
                <w:rFonts w:ascii="Arial" w:eastAsia="Times New Roman" w:hAnsi="Arial" w:cs="Arial"/>
                <w:color w:val="000000"/>
                <w:sz w:val="18"/>
                <w:szCs w:val="18"/>
                <w:lang w:eastAsia="en-GB"/>
              </w:rPr>
            </w:pPr>
            <w:r>
              <w:rPr>
                <w:rFonts w:ascii="Arial" w:eastAsia="Times New Roman" w:hAnsi="Arial" w:cs="Arial"/>
                <w:color w:val="000000"/>
                <w:sz w:val="20"/>
                <w:szCs w:val="20"/>
                <w:lang w:eastAsia="en-GB"/>
              </w:rPr>
              <w:t>Increase/(d</w:t>
            </w:r>
            <w:r w:rsidR="001A6CDF" w:rsidRPr="000B4785">
              <w:rPr>
                <w:rFonts w:ascii="Arial" w:eastAsia="Times New Roman" w:hAnsi="Arial" w:cs="Arial"/>
                <w:color w:val="000000"/>
                <w:sz w:val="20"/>
                <w:szCs w:val="20"/>
                <w:lang w:eastAsia="en-GB"/>
              </w:rPr>
              <w:t>ecrease)</w:t>
            </w:r>
            <w:r>
              <w:rPr>
                <w:rFonts w:ascii="Arial" w:eastAsia="Times New Roman" w:hAnsi="Arial" w:cs="Arial"/>
                <w:color w:val="000000"/>
                <w:sz w:val="20"/>
                <w:szCs w:val="20"/>
                <w:lang w:eastAsia="en-GB"/>
              </w:rPr>
              <w:t xml:space="preserve"> </w:t>
            </w:r>
            <w:r w:rsidR="001A6CDF" w:rsidRPr="000B4785">
              <w:rPr>
                <w:rFonts w:ascii="Arial" w:eastAsia="Times New Roman" w:hAnsi="Arial" w:cs="Arial"/>
                <w:color w:val="000000"/>
                <w:sz w:val="20"/>
                <w:szCs w:val="20"/>
                <w:lang w:eastAsia="en-GB"/>
              </w:rPr>
              <w:t>in trade and other payables</w:t>
            </w:r>
          </w:p>
        </w:tc>
        <w:tc>
          <w:tcPr>
            <w:tcW w:w="1415" w:type="dxa"/>
            <w:tcBorders>
              <w:top w:val="nil"/>
              <w:left w:val="nil"/>
              <w:bottom w:val="dotted" w:sz="8" w:space="0" w:color="auto"/>
              <w:right w:val="dotted" w:sz="8" w:space="0" w:color="auto"/>
            </w:tcBorders>
          </w:tcPr>
          <w:p w14:paraId="3488F504" w14:textId="68FA4218" w:rsidR="001A6CDF" w:rsidRPr="00406FCB" w:rsidRDefault="005D791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67</w:t>
            </w:r>
          </w:p>
        </w:tc>
        <w:tc>
          <w:tcPr>
            <w:tcW w:w="1417" w:type="dxa"/>
            <w:tcBorders>
              <w:top w:val="nil"/>
              <w:left w:val="nil"/>
              <w:bottom w:val="dotted" w:sz="8" w:space="0" w:color="auto"/>
              <w:right w:val="dotted" w:sz="8" w:space="0" w:color="auto"/>
            </w:tcBorders>
            <w:hideMark/>
          </w:tcPr>
          <w:p w14:paraId="052C5ECB" w14:textId="67E43F6F" w:rsidR="001A6CDF" w:rsidRPr="007D2D71" w:rsidRDefault="001A6CDF" w:rsidP="001A6CDF">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(98)</w:t>
            </w:r>
          </w:p>
        </w:tc>
        <w:tc>
          <w:tcPr>
            <w:tcW w:w="1418" w:type="dxa"/>
            <w:tcBorders>
              <w:top w:val="nil"/>
              <w:left w:val="nil"/>
              <w:bottom w:val="dotted" w:sz="8" w:space="0" w:color="auto"/>
              <w:right w:val="dotted" w:sz="8" w:space="0" w:color="auto"/>
            </w:tcBorders>
            <w:vAlign w:val="bottom"/>
          </w:tcPr>
          <w:p w14:paraId="123D380A" w14:textId="156AFF35" w:rsidR="001A6CDF" w:rsidRPr="00406FCB" w:rsidRDefault="001A6CDF" w:rsidP="001A6CDF">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45</w:t>
            </w:r>
          </w:p>
        </w:tc>
      </w:tr>
      <w:tr w:rsidR="001A6CDF" w:rsidRPr="00406FCB" w14:paraId="62F4DCAD" w14:textId="77777777" w:rsidTr="00406FCB">
        <w:trPr>
          <w:trHeight w:val="60"/>
        </w:trPr>
        <w:tc>
          <w:tcPr>
            <w:tcW w:w="5230" w:type="dxa"/>
            <w:tcBorders>
              <w:top w:val="nil"/>
              <w:left w:val="dotted" w:sz="8" w:space="0" w:color="auto"/>
              <w:bottom w:val="dotted" w:sz="8" w:space="0" w:color="auto"/>
              <w:right w:val="dotted" w:sz="8" w:space="0" w:color="auto"/>
            </w:tcBorders>
            <w:vAlign w:val="bottom"/>
          </w:tcPr>
          <w:p w14:paraId="32D90FBF" w14:textId="5E24ACA9" w:rsidR="001A6CDF" w:rsidRPr="001A6CDF" w:rsidRDefault="001A6CDF" w:rsidP="001A6CDF">
            <w:pPr>
              <w:spacing w:after="0" w:line="207" w:lineRule="atLeast"/>
              <w:rPr>
                <w:rFonts w:ascii="Arial" w:eastAsia="Times New Roman" w:hAnsi="Arial" w:cs="Arial"/>
                <w:color w:val="000000"/>
                <w:sz w:val="20"/>
                <w:szCs w:val="20"/>
                <w:lang w:eastAsia="en-GB"/>
              </w:rPr>
            </w:pPr>
            <w:r w:rsidRPr="001A6CDF">
              <w:rPr>
                <w:rFonts w:ascii="Arial" w:eastAsia="Times New Roman" w:hAnsi="Arial" w:cs="Arial"/>
                <w:color w:val="000000"/>
                <w:sz w:val="20"/>
                <w:szCs w:val="20"/>
                <w:lang w:eastAsia="en-GB"/>
              </w:rPr>
              <w:t>Lease Interest</w:t>
            </w:r>
          </w:p>
        </w:tc>
        <w:tc>
          <w:tcPr>
            <w:tcW w:w="1415" w:type="dxa"/>
            <w:tcBorders>
              <w:top w:val="nil"/>
              <w:left w:val="nil"/>
              <w:bottom w:val="dotted" w:sz="8" w:space="0" w:color="auto"/>
              <w:right w:val="dotted" w:sz="8" w:space="0" w:color="auto"/>
            </w:tcBorders>
          </w:tcPr>
          <w:p w14:paraId="4C3DF391" w14:textId="4AB2F235" w:rsidR="001A6CDF" w:rsidRPr="00406FCB" w:rsidRDefault="005D791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(3)</w:t>
            </w:r>
          </w:p>
        </w:tc>
        <w:tc>
          <w:tcPr>
            <w:tcW w:w="1417" w:type="dxa"/>
            <w:tcBorders>
              <w:top w:val="nil"/>
              <w:left w:val="nil"/>
              <w:bottom w:val="dotted" w:sz="8" w:space="0" w:color="auto"/>
              <w:right w:val="dotted" w:sz="8" w:space="0" w:color="auto"/>
            </w:tcBorders>
          </w:tcPr>
          <w:p w14:paraId="7FB5F211" w14:textId="4000A6E9" w:rsidR="001A6CDF" w:rsidRPr="001A6CDF" w:rsidRDefault="001A6CDF" w:rsidP="001A6CDF">
            <w:pPr>
              <w:spacing w:after="0" w:line="207" w:lineRule="atLeast"/>
              <w:jc w:val="right"/>
              <w:rPr>
                <w:rFonts w:ascii="Arial" w:eastAsia="Times New Roman" w:hAnsi="Arial" w:cs="Arial"/>
                <w:color w:val="000000"/>
                <w:sz w:val="18"/>
                <w:szCs w:val="18"/>
                <w:lang w:eastAsia="en-GB"/>
              </w:rPr>
            </w:pPr>
            <w:r w:rsidRPr="001A6CDF">
              <w:rPr>
                <w:rFonts w:ascii="Arial" w:eastAsia="Times New Roman" w:hAnsi="Arial" w:cs="Arial"/>
                <w:color w:val="000000"/>
                <w:sz w:val="18"/>
                <w:szCs w:val="18"/>
                <w:lang w:eastAsia="en-GB"/>
              </w:rPr>
              <w:t>-</w:t>
            </w:r>
          </w:p>
        </w:tc>
        <w:tc>
          <w:tcPr>
            <w:tcW w:w="1418" w:type="dxa"/>
            <w:tcBorders>
              <w:top w:val="nil"/>
              <w:left w:val="nil"/>
              <w:bottom w:val="dotted" w:sz="8" w:space="0" w:color="auto"/>
              <w:right w:val="dotted" w:sz="8" w:space="0" w:color="auto"/>
            </w:tcBorders>
            <w:vAlign w:val="bottom"/>
          </w:tcPr>
          <w:p w14:paraId="021461B4" w14:textId="7410187A" w:rsidR="001A6CDF" w:rsidRPr="001A6CDF" w:rsidRDefault="001A6CDF" w:rsidP="001A6CDF">
            <w:pPr>
              <w:spacing w:after="0" w:line="207" w:lineRule="atLeast"/>
              <w:jc w:val="right"/>
              <w:rPr>
                <w:rFonts w:ascii="Arial" w:eastAsia="Times New Roman" w:hAnsi="Arial" w:cs="Arial"/>
                <w:color w:val="000000"/>
                <w:sz w:val="18"/>
                <w:szCs w:val="18"/>
                <w:lang w:eastAsia="en-GB"/>
              </w:rPr>
            </w:pPr>
            <w:r w:rsidRPr="001A6CDF">
              <w:rPr>
                <w:rFonts w:ascii="Arial" w:eastAsia="Times New Roman" w:hAnsi="Arial" w:cs="Arial"/>
                <w:color w:val="000000"/>
                <w:sz w:val="18"/>
                <w:szCs w:val="18"/>
                <w:lang w:eastAsia="en-GB"/>
              </w:rPr>
              <w:t>4</w:t>
            </w:r>
          </w:p>
        </w:tc>
      </w:tr>
      <w:tr w:rsidR="001A6CDF" w:rsidRPr="00406FCB" w14:paraId="14E3DA21"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640C8FB0"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Net cash used in operating activities</w:t>
            </w:r>
          </w:p>
        </w:tc>
        <w:tc>
          <w:tcPr>
            <w:tcW w:w="1415" w:type="dxa"/>
            <w:tcBorders>
              <w:top w:val="nil"/>
              <w:left w:val="nil"/>
              <w:bottom w:val="dotted" w:sz="8" w:space="0" w:color="auto"/>
              <w:right w:val="dotted" w:sz="8" w:space="0" w:color="auto"/>
            </w:tcBorders>
          </w:tcPr>
          <w:p w14:paraId="50F148BA" w14:textId="6242DD22" w:rsidR="001A6CDF" w:rsidRPr="00406FCB" w:rsidRDefault="005D791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(29</w:t>
            </w:r>
            <w:r w:rsidR="00A65E45">
              <w:rPr>
                <w:rFonts w:ascii="Arial" w:eastAsia="Times New Roman" w:hAnsi="Arial" w:cs="Arial"/>
                <w:b/>
                <w:bCs/>
                <w:color w:val="000000"/>
                <w:sz w:val="18"/>
                <w:szCs w:val="18"/>
                <w:lang w:eastAsia="en-GB"/>
              </w:rPr>
              <w:t>5</w:t>
            </w:r>
            <w:r>
              <w:rPr>
                <w:rFonts w:ascii="Arial" w:eastAsia="Times New Roman" w:hAnsi="Arial" w:cs="Arial"/>
                <w:b/>
                <w:bCs/>
                <w:color w:val="000000"/>
                <w:sz w:val="18"/>
                <w:szCs w:val="18"/>
                <w:lang w:eastAsia="en-GB"/>
              </w:rPr>
              <w:t>)</w:t>
            </w:r>
          </w:p>
        </w:tc>
        <w:tc>
          <w:tcPr>
            <w:tcW w:w="1417" w:type="dxa"/>
            <w:tcBorders>
              <w:top w:val="nil"/>
              <w:left w:val="nil"/>
              <w:bottom w:val="dotted" w:sz="8" w:space="0" w:color="auto"/>
              <w:right w:val="dotted" w:sz="8" w:space="0" w:color="auto"/>
            </w:tcBorders>
            <w:hideMark/>
          </w:tcPr>
          <w:p w14:paraId="537FDE1D" w14:textId="6CBD29F7"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(283)</w:t>
            </w:r>
          </w:p>
        </w:tc>
        <w:tc>
          <w:tcPr>
            <w:tcW w:w="1418" w:type="dxa"/>
            <w:tcBorders>
              <w:top w:val="nil"/>
              <w:left w:val="nil"/>
              <w:bottom w:val="dotted" w:sz="8" w:space="0" w:color="auto"/>
              <w:right w:val="dotted" w:sz="8" w:space="0" w:color="auto"/>
            </w:tcBorders>
            <w:vAlign w:val="bottom"/>
          </w:tcPr>
          <w:p w14:paraId="6B78D081" w14:textId="004B1DBE"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(49)</w:t>
            </w:r>
          </w:p>
        </w:tc>
      </w:tr>
      <w:tr w:rsidR="001A6CDF" w:rsidRPr="00406FCB" w14:paraId="4F6C30EC"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0433E1CF"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Corporation tax recovered</w:t>
            </w:r>
          </w:p>
        </w:tc>
        <w:tc>
          <w:tcPr>
            <w:tcW w:w="1415" w:type="dxa"/>
            <w:tcBorders>
              <w:top w:val="nil"/>
              <w:left w:val="nil"/>
              <w:bottom w:val="dotted" w:sz="8" w:space="0" w:color="auto"/>
              <w:right w:val="dotted" w:sz="8" w:space="0" w:color="auto"/>
            </w:tcBorders>
          </w:tcPr>
          <w:p w14:paraId="556A700E" w14:textId="1D5C63F8" w:rsidR="001A6CDF" w:rsidRPr="00406FCB" w:rsidRDefault="00B80E8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(5)</w:t>
            </w:r>
          </w:p>
        </w:tc>
        <w:tc>
          <w:tcPr>
            <w:tcW w:w="1417" w:type="dxa"/>
            <w:tcBorders>
              <w:top w:val="nil"/>
              <w:left w:val="nil"/>
              <w:bottom w:val="dotted" w:sz="8" w:space="0" w:color="auto"/>
              <w:right w:val="dotted" w:sz="8" w:space="0" w:color="auto"/>
            </w:tcBorders>
            <w:hideMark/>
          </w:tcPr>
          <w:p w14:paraId="6F59A937" w14:textId="030BBF07" w:rsidR="001A6CDF" w:rsidRPr="007D2D71" w:rsidRDefault="001A6CDF" w:rsidP="001A6CDF">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(1)</w:t>
            </w:r>
          </w:p>
        </w:tc>
        <w:tc>
          <w:tcPr>
            <w:tcW w:w="1418" w:type="dxa"/>
            <w:tcBorders>
              <w:top w:val="nil"/>
              <w:left w:val="nil"/>
              <w:bottom w:val="dotted" w:sz="8" w:space="0" w:color="auto"/>
              <w:right w:val="dotted" w:sz="8" w:space="0" w:color="auto"/>
            </w:tcBorders>
            <w:vAlign w:val="bottom"/>
          </w:tcPr>
          <w:p w14:paraId="5DBDA4E8" w14:textId="66EEAD75" w:rsidR="001A6CDF" w:rsidRPr="00406FCB" w:rsidRDefault="001A6CDF" w:rsidP="001A6CDF">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51</w:t>
            </w:r>
          </w:p>
        </w:tc>
      </w:tr>
      <w:tr w:rsidR="001A6CDF" w:rsidRPr="00406FCB" w14:paraId="4302F147" w14:textId="77777777" w:rsidTr="00406FCB">
        <w:trPr>
          <w:trHeight w:val="116"/>
        </w:trPr>
        <w:tc>
          <w:tcPr>
            <w:tcW w:w="5230" w:type="dxa"/>
            <w:tcBorders>
              <w:top w:val="nil"/>
              <w:left w:val="dotted" w:sz="8" w:space="0" w:color="auto"/>
              <w:bottom w:val="dotted" w:sz="8" w:space="0" w:color="auto"/>
              <w:right w:val="dotted" w:sz="8" w:space="0" w:color="auto"/>
            </w:tcBorders>
            <w:vAlign w:val="bottom"/>
            <w:hideMark/>
          </w:tcPr>
          <w:p w14:paraId="049DA302"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Net cash outflow from operating activities</w:t>
            </w:r>
          </w:p>
        </w:tc>
        <w:tc>
          <w:tcPr>
            <w:tcW w:w="1415" w:type="dxa"/>
            <w:tcBorders>
              <w:top w:val="nil"/>
              <w:left w:val="nil"/>
              <w:bottom w:val="dotted" w:sz="8" w:space="0" w:color="auto"/>
              <w:right w:val="dotted" w:sz="8" w:space="0" w:color="auto"/>
            </w:tcBorders>
          </w:tcPr>
          <w:p w14:paraId="2E832BF7" w14:textId="5467D9A0" w:rsidR="001A6CDF" w:rsidRPr="00406FCB" w:rsidRDefault="00B80E8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(300)</w:t>
            </w:r>
          </w:p>
        </w:tc>
        <w:tc>
          <w:tcPr>
            <w:tcW w:w="1417" w:type="dxa"/>
            <w:tcBorders>
              <w:top w:val="nil"/>
              <w:left w:val="nil"/>
              <w:bottom w:val="dotted" w:sz="8" w:space="0" w:color="auto"/>
              <w:right w:val="dotted" w:sz="8" w:space="0" w:color="auto"/>
            </w:tcBorders>
            <w:hideMark/>
          </w:tcPr>
          <w:p w14:paraId="793A6AF5" w14:textId="09F671EF"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(284)</w:t>
            </w:r>
          </w:p>
        </w:tc>
        <w:tc>
          <w:tcPr>
            <w:tcW w:w="1418" w:type="dxa"/>
            <w:tcBorders>
              <w:top w:val="nil"/>
              <w:left w:val="nil"/>
              <w:bottom w:val="dotted" w:sz="8" w:space="0" w:color="auto"/>
              <w:right w:val="dotted" w:sz="8" w:space="0" w:color="auto"/>
            </w:tcBorders>
            <w:vAlign w:val="bottom"/>
          </w:tcPr>
          <w:p w14:paraId="51263D1A" w14:textId="6D815125"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w:t>
            </w:r>
          </w:p>
        </w:tc>
      </w:tr>
      <w:tr w:rsidR="001A6CDF" w:rsidRPr="00406FCB" w14:paraId="642FF95C"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62EEFAAC"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5" w:type="dxa"/>
            <w:tcBorders>
              <w:top w:val="nil"/>
              <w:left w:val="nil"/>
              <w:bottom w:val="dotted" w:sz="8" w:space="0" w:color="auto"/>
              <w:right w:val="dotted" w:sz="8" w:space="0" w:color="auto"/>
            </w:tcBorders>
          </w:tcPr>
          <w:p w14:paraId="05137613" w14:textId="457AEC47"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56A5655B" w14:textId="5EF9298D" w:rsidR="001A6CDF" w:rsidRPr="00406FCB" w:rsidRDefault="001A6CDF" w:rsidP="001A6CDF">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222E4594" w14:textId="4A27DF09" w:rsidR="001A6CDF" w:rsidRPr="00406FCB" w:rsidRDefault="001A6CDF" w:rsidP="001A6CDF">
            <w:pPr>
              <w:spacing w:after="0" w:line="207" w:lineRule="atLeast"/>
              <w:jc w:val="right"/>
              <w:rPr>
                <w:rFonts w:ascii="Arial" w:eastAsia="Times New Roman" w:hAnsi="Arial" w:cs="Arial"/>
                <w:color w:val="000000"/>
                <w:sz w:val="18"/>
                <w:szCs w:val="18"/>
                <w:lang w:eastAsia="en-GB"/>
              </w:rPr>
            </w:pPr>
          </w:p>
        </w:tc>
      </w:tr>
      <w:tr w:rsidR="001A6CDF" w:rsidRPr="00406FCB" w14:paraId="15BB9485"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1F7E19E9"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Cash flows from investing activities</w:t>
            </w:r>
          </w:p>
        </w:tc>
        <w:tc>
          <w:tcPr>
            <w:tcW w:w="1415" w:type="dxa"/>
            <w:tcBorders>
              <w:top w:val="nil"/>
              <w:left w:val="nil"/>
              <w:bottom w:val="dotted" w:sz="8" w:space="0" w:color="auto"/>
              <w:right w:val="dotted" w:sz="8" w:space="0" w:color="auto"/>
            </w:tcBorders>
          </w:tcPr>
          <w:p w14:paraId="43B4D12B" w14:textId="17C74B21"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0AC92A14" w14:textId="17BBF558" w:rsidR="001A6CDF" w:rsidRPr="00406FCB" w:rsidRDefault="001A6CDF" w:rsidP="001A6CDF">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625FF15E" w14:textId="76A4447E" w:rsidR="001A6CDF" w:rsidRPr="00406FCB" w:rsidRDefault="001A6CDF" w:rsidP="001A6CDF">
            <w:pPr>
              <w:spacing w:after="0" w:line="207" w:lineRule="atLeast"/>
              <w:jc w:val="right"/>
              <w:rPr>
                <w:rFonts w:ascii="Arial" w:eastAsia="Times New Roman" w:hAnsi="Arial" w:cs="Arial"/>
                <w:color w:val="000000"/>
                <w:sz w:val="18"/>
                <w:szCs w:val="18"/>
                <w:lang w:eastAsia="en-GB"/>
              </w:rPr>
            </w:pPr>
          </w:p>
        </w:tc>
      </w:tr>
      <w:tr w:rsidR="001A6CDF" w:rsidRPr="00406FCB" w14:paraId="4186CFF5" w14:textId="77777777" w:rsidTr="00406FCB">
        <w:trPr>
          <w:trHeight w:val="60"/>
        </w:trPr>
        <w:tc>
          <w:tcPr>
            <w:tcW w:w="5230" w:type="dxa"/>
            <w:tcBorders>
              <w:top w:val="nil"/>
              <w:left w:val="dotted" w:sz="8" w:space="0" w:color="auto"/>
              <w:bottom w:val="dotted" w:sz="8" w:space="0" w:color="auto"/>
              <w:right w:val="dotted" w:sz="8" w:space="0" w:color="auto"/>
            </w:tcBorders>
            <w:vAlign w:val="bottom"/>
          </w:tcPr>
          <w:p w14:paraId="62870D93" w14:textId="08997BD4" w:rsidR="001A6CDF" w:rsidRPr="00406FCB" w:rsidRDefault="001A6CDF" w:rsidP="001A6CDF">
            <w:pPr>
              <w:spacing w:after="0" w:line="207" w:lineRule="atLeast"/>
              <w:rPr>
                <w:rFonts w:ascii="Arial" w:eastAsia="Times New Roman" w:hAnsi="Arial" w:cs="Arial"/>
                <w:color w:val="000000"/>
                <w:sz w:val="20"/>
                <w:szCs w:val="20"/>
                <w:lang w:eastAsia="en-GB"/>
              </w:rPr>
            </w:pPr>
            <w:r w:rsidRPr="00406FCB">
              <w:rPr>
                <w:rFonts w:ascii="Arial" w:eastAsia="Times New Roman" w:hAnsi="Arial" w:cs="Arial"/>
                <w:color w:val="000000"/>
                <w:sz w:val="20"/>
                <w:szCs w:val="20"/>
                <w:lang w:eastAsia="en-GB"/>
              </w:rPr>
              <w:t>Interest received</w:t>
            </w:r>
          </w:p>
        </w:tc>
        <w:tc>
          <w:tcPr>
            <w:tcW w:w="1415" w:type="dxa"/>
            <w:tcBorders>
              <w:top w:val="nil"/>
              <w:left w:val="nil"/>
              <w:bottom w:val="dotted" w:sz="8" w:space="0" w:color="auto"/>
              <w:right w:val="dotted" w:sz="8" w:space="0" w:color="auto"/>
            </w:tcBorders>
          </w:tcPr>
          <w:p w14:paraId="7220BE34" w14:textId="36B71787" w:rsidR="001A6CDF" w:rsidRPr="00406FCB" w:rsidRDefault="00B80E8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t>
            </w:r>
          </w:p>
        </w:tc>
        <w:tc>
          <w:tcPr>
            <w:tcW w:w="1417" w:type="dxa"/>
            <w:tcBorders>
              <w:top w:val="nil"/>
              <w:left w:val="nil"/>
              <w:bottom w:val="dotted" w:sz="8" w:space="0" w:color="auto"/>
              <w:right w:val="dotted" w:sz="8" w:space="0" w:color="auto"/>
            </w:tcBorders>
          </w:tcPr>
          <w:p w14:paraId="6D2DD01E" w14:textId="44B46C31" w:rsidR="001A6CDF" w:rsidRPr="007D2D71" w:rsidRDefault="001A6CDF" w:rsidP="001A6CDF">
            <w:pPr>
              <w:spacing w:after="0" w:line="207" w:lineRule="atLeast"/>
              <w:jc w:val="right"/>
              <w:rPr>
                <w:rFonts w:ascii="Arial" w:eastAsia="Times New Roman" w:hAnsi="Arial" w:cs="Arial"/>
                <w:color w:val="000000"/>
                <w:sz w:val="20"/>
                <w:szCs w:val="20"/>
                <w:lang w:eastAsia="en-GB"/>
              </w:rPr>
            </w:pPr>
            <w:r w:rsidRPr="007D2D71">
              <w:rPr>
                <w:rFonts w:ascii="Arial" w:eastAsia="Times New Roman" w:hAnsi="Arial" w:cs="Arial"/>
                <w:color w:val="000000"/>
                <w:sz w:val="18"/>
                <w:szCs w:val="18"/>
                <w:lang w:eastAsia="en-GB"/>
              </w:rPr>
              <w:t>-</w:t>
            </w:r>
          </w:p>
        </w:tc>
        <w:tc>
          <w:tcPr>
            <w:tcW w:w="1418" w:type="dxa"/>
            <w:tcBorders>
              <w:top w:val="nil"/>
              <w:left w:val="nil"/>
              <w:bottom w:val="dotted" w:sz="8" w:space="0" w:color="auto"/>
              <w:right w:val="dotted" w:sz="8" w:space="0" w:color="auto"/>
            </w:tcBorders>
            <w:vAlign w:val="bottom"/>
          </w:tcPr>
          <w:p w14:paraId="1195F93A" w14:textId="1512EB02" w:rsidR="001A6CDF" w:rsidRPr="00406FCB" w:rsidRDefault="001A6CDF" w:rsidP="001A6CDF">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t>
            </w:r>
          </w:p>
        </w:tc>
      </w:tr>
      <w:tr w:rsidR="001A6CDF" w:rsidRPr="00406FCB" w14:paraId="2A1C87DA"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583D5EF9" w14:textId="3783BB2E"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Purchase of intangible and tangible assets</w:t>
            </w:r>
          </w:p>
        </w:tc>
        <w:tc>
          <w:tcPr>
            <w:tcW w:w="1415" w:type="dxa"/>
            <w:tcBorders>
              <w:top w:val="nil"/>
              <w:left w:val="nil"/>
              <w:bottom w:val="dotted" w:sz="8" w:space="0" w:color="auto"/>
              <w:right w:val="dotted" w:sz="8" w:space="0" w:color="auto"/>
            </w:tcBorders>
          </w:tcPr>
          <w:p w14:paraId="45715A30" w14:textId="43C38ABF" w:rsidR="001A6CDF" w:rsidRPr="00406FCB" w:rsidRDefault="00B80E8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(103)</w:t>
            </w:r>
          </w:p>
        </w:tc>
        <w:tc>
          <w:tcPr>
            <w:tcW w:w="1417" w:type="dxa"/>
            <w:tcBorders>
              <w:top w:val="nil"/>
              <w:left w:val="nil"/>
              <w:bottom w:val="dotted" w:sz="8" w:space="0" w:color="auto"/>
              <w:right w:val="dotted" w:sz="8" w:space="0" w:color="auto"/>
            </w:tcBorders>
            <w:hideMark/>
          </w:tcPr>
          <w:p w14:paraId="289DB436" w14:textId="2C3126B7" w:rsidR="001A6CDF" w:rsidRPr="007D2D71" w:rsidRDefault="001A6CDF" w:rsidP="001A6CDF">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(7)</w:t>
            </w:r>
          </w:p>
        </w:tc>
        <w:tc>
          <w:tcPr>
            <w:tcW w:w="1418" w:type="dxa"/>
            <w:tcBorders>
              <w:top w:val="nil"/>
              <w:left w:val="nil"/>
              <w:bottom w:val="dotted" w:sz="8" w:space="0" w:color="auto"/>
              <w:right w:val="dotted" w:sz="8" w:space="0" w:color="auto"/>
            </w:tcBorders>
            <w:vAlign w:val="bottom"/>
          </w:tcPr>
          <w:p w14:paraId="45174E1D" w14:textId="735D19CB" w:rsidR="001A6CDF" w:rsidRPr="00406FCB" w:rsidRDefault="001A6CDF" w:rsidP="001A6CDF">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w:t>
            </w:r>
            <w:r w:rsidR="00687C46">
              <w:rPr>
                <w:rFonts w:ascii="Arial" w:eastAsia="Times New Roman" w:hAnsi="Arial" w:cs="Arial"/>
                <w:color w:val="000000"/>
                <w:sz w:val="18"/>
                <w:szCs w:val="18"/>
                <w:lang w:eastAsia="en-GB"/>
              </w:rPr>
              <w:t>30</w:t>
            </w:r>
            <w:r>
              <w:rPr>
                <w:rFonts w:ascii="Arial" w:eastAsia="Times New Roman" w:hAnsi="Arial" w:cs="Arial"/>
                <w:color w:val="000000"/>
                <w:sz w:val="18"/>
                <w:szCs w:val="18"/>
                <w:lang w:eastAsia="en-GB"/>
              </w:rPr>
              <w:t>)</w:t>
            </w:r>
          </w:p>
        </w:tc>
      </w:tr>
      <w:tr w:rsidR="001A6CDF" w:rsidRPr="00406FCB" w14:paraId="6460E188"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23947D74"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Net cash used in investing activities</w:t>
            </w:r>
          </w:p>
        </w:tc>
        <w:tc>
          <w:tcPr>
            <w:tcW w:w="1415" w:type="dxa"/>
            <w:tcBorders>
              <w:top w:val="nil"/>
              <w:left w:val="nil"/>
              <w:bottom w:val="dotted" w:sz="8" w:space="0" w:color="auto"/>
              <w:right w:val="dotted" w:sz="8" w:space="0" w:color="auto"/>
            </w:tcBorders>
          </w:tcPr>
          <w:p w14:paraId="129D9B04" w14:textId="24282A63" w:rsidR="001A6CDF" w:rsidRPr="00406FCB" w:rsidRDefault="00B80E8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(103)</w:t>
            </w:r>
          </w:p>
        </w:tc>
        <w:tc>
          <w:tcPr>
            <w:tcW w:w="1417" w:type="dxa"/>
            <w:tcBorders>
              <w:top w:val="nil"/>
              <w:left w:val="nil"/>
              <w:bottom w:val="dotted" w:sz="8" w:space="0" w:color="auto"/>
              <w:right w:val="dotted" w:sz="8" w:space="0" w:color="auto"/>
            </w:tcBorders>
            <w:hideMark/>
          </w:tcPr>
          <w:p w14:paraId="4350B40E" w14:textId="452F4C17"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w:t>
            </w:r>
          </w:p>
        </w:tc>
        <w:tc>
          <w:tcPr>
            <w:tcW w:w="1418" w:type="dxa"/>
            <w:tcBorders>
              <w:top w:val="nil"/>
              <w:left w:val="nil"/>
              <w:bottom w:val="dotted" w:sz="8" w:space="0" w:color="auto"/>
              <w:right w:val="dotted" w:sz="8" w:space="0" w:color="auto"/>
            </w:tcBorders>
            <w:vAlign w:val="bottom"/>
          </w:tcPr>
          <w:p w14:paraId="0A18617E" w14:textId="169A15B5"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w:t>
            </w:r>
            <w:r w:rsidR="00687C46">
              <w:rPr>
                <w:rFonts w:ascii="Arial" w:eastAsia="Times New Roman" w:hAnsi="Arial" w:cs="Arial"/>
                <w:b/>
                <w:bCs/>
                <w:color w:val="000000"/>
                <w:sz w:val="18"/>
                <w:szCs w:val="18"/>
                <w:lang w:eastAsia="en-GB"/>
              </w:rPr>
              <w:t>30</w:t>
            </w:r>
            <w:r>
              <w:rPr>
                <w:rFonts w:ascii="Arial" w:eastAsia="Times New Roman" w:hAnsi="Arial" w:cs="Arial"/>
                <w:b/>
                <w:bCs/>
                <w:color w:val="000000"/>
                <w:sz w:val="18"/>
                <w:szCs w:val="18"/>
                <w:lang w:eastAsia="en-GB"/>
              </w:rPr>
              <w:t>)</w:t>
            </w:r>
          </w:p>
        </w:tc>
      </w:tr>
      <w:tr w:rsidR="001A6CDF" w:rsidRPr="00406FCB" w14:paraId="2CA95510"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3B91889"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5" w:type="dxa"/>
            <w:tcBorders>
              <w:top w:val="nil"/>
              <w:left w:val="nil"/>
              <w:bottom w:val="dotted" w:sz="8" w:space="0" w:color="auto"/>
              <w:right w:val="dotted" w:sz="8" w:space="0" w:color="auto"/>
            </w:tcBorders>
          </w:tcPr>
          <w:p w14:paraId="1EEF42D2" w14:textId="03DC480F"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5BE3404A" w14:textId="23E814B3" w:rsidR="001A6CDF" w:rsidRPr="00406FCB" w:rsidRDefault="001A6CDF" w:rsidP="001A6CDF">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38263418" w14:textId="53FE10D2" w:rsidR="001A6CDF" w:rsidRPr="00406FCB" w:rsidRDefault="001A6CDF" w:rsidP="001A6CDF">
            <w:pPr>
              <w:spacing w:after="0" w:line="207" w:lineRule="atLeast"/>
              <w:jc w:val="right"/>
              <w:rPr>
                <w:rFonts w:ascii="Arial" w:eastAsia="Times New Roman" w:hAnsi="Arial" w:cs="Arial"/>
                <w:color w:val="000000"/>
                <w:sz w:val="18"/>
                <w:szCs w:val="18"/>
                <w:lang w:eastAsia="en-GB"/>
              </w:rPr>
            </w:pPr>
          </w:p>
        </w:tc>
      </w:tr>
      <w:tr w:rsidR="001A6CDF" w:rsidRPr="00406FCB" w14:paraId="7C2D4B26"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7310034"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Cash flows from financing activities</w:t>
            </w:r>
          </w:p>
        </w:tc>
        <w:tc>
          <w:tcPr>
            <w:tcW w:w="1415" w:type="dxa"/>
            <w:tcBorders>
              <w:top w:val="nil"/>
              <w:left w:val="nil"/>
              <w:bottom w:val="dotted" w:sz="8" w:space="0" w:color="auto"/>
              <w:right w:val="dotted" w:sz="8" w:space="0" w:color="auto"/>
            </w:tcBorders>
          </w:tcPr>
          <w:p w14:paraId="2DE1D057" w14:textId="34C522B8"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4B02606A" w14:textId="196ED0BA" w:rsidR="001A6CDF" w:rsidRPr="00406FCB" w:rsidRDefault="001A6CDF" w:rsidP="001A6CDF">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35398EF0" w14:textId="54D81A2F"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p>
        </w:tc>
      </w:tr>
      <w:tr w:rsidR="004631ED" w:rsidRPr="00406FCB" w14:paraId="7001061B" w14:textId="77777777" w:rsidTr="00406FCB">
        <w:trPr>
          <w:trHeight w:val="60"/>
        </w:trPr>
        <w:tc>
          <w:tcPr>
            <w:tcW w:w="5230" w:type="dxa"/>
            <w:tcBorders>
              <w:top w:val="nil"/>
              <w:left w:val="dotted" w:sz="8" w:space="0" w:color="auto"/>
              <w:bottom w:val="dotted" w:sz="8" w:space="0" w:color="auto"/>
              <w:right w:val="dotted" w:sz="8" w:space="0" w:color="auto"/>
            </w:tcBorders>
            <w:vAlign w:val="bottom"/>
          </w:tcPr>
          <w:p w14:paraId="72E15C29" w14:textId="3D549AE5" w:rsidR="004631ED" w:rsidRDefault="004631ED" w:rsidP="001A6CDF">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Share Issue</w:t>
            </w:r>
          </w:p>
        </w:tc>
        <w:tc>
          <w:tcPr>
            <w:tcW w:w="1415" w:type="dxa"/>
            <w:tcBorders>
              <w:top w:val="nil"/>
              <w:left w:val="nil"/>
              <w:bottom w:val="dotted" w:sz="8" w:space="0" w:color="auto"/>
              <w:right w:val="dotted" w:sz="8" w:space="0" w:color="auto"/>
            </w:tcBorders>
          </w:tcPr>
          <w:p w14:paraId="4A9988A1" w14:textId="6E1E9BC4" w:rsidR="004631ED" w:rsidRPr="00406FCB" w:rsidRDefault="00B80E8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10</w:t>
            </w:r>
          </w:p>
        </w:tc>
        <w:tc>
          <w:tcPr>
            <w:tcW w:w="1417" w:type="dxa"/>
            <w:tcBorders>
              <w:top w:val="nil"/>
              <w:left w:val="nil"/>
              <w:bottom w:val="dotted" w:sz="8" w:space="0" w:color="auto"/>
              <w:right w:val="dotted" w:sz="8" w:space="0" w:color="auto"/>
            </w:tcBorders>
          </w:tcPr>
          <w:p w14:paraId="7F1B6C84" w14:textId="77777777" w:rsidR="004631ED" w:rsidRPr="007D2D71" w:rsidRDefault="004631ED" w:rsidP="001A6CDF">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5A1EF099" w14:textId="77777777" w:rsidR="004631ED" w:rsidRDefault="004631ED" w:rsidP="001A6CDF">
            <w:pPr>
              <w:spacing w:after="0" w:line="207" w:lineRule="atLeast"/>
              <w:jc w:val="right"/>
              <w:rPr>
                <w:rFonts w:ascii="Arial" w:eastAsia="Times New Roman" w:hAnsi="Arial" w:cs="Arial"/>
                <w:color w:val="000000"/>
                <w:sz w:val="18"/>
                <w:szCs w:val="18"/>
                <w:lang w:eastAsia="en-GB"/>
              </w:rPr>
            </w:pPr>
          </w:p>
        </w:tc>
      </w:tr>
      <w:tr w:rsidR="001A6CDF" w:rsidRPr="00406FCB" w14:paraId="39154B96"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0A8F952" w14:textId="48FAA313" w:rsidR="001A6CDF" w:rsidRPr="00406FCB" w:rsidRDefault="001A6CDF" w:rsidP="001A6CDF">
            <w:pPr>
              <w:spacing w:after="0" w:line="207" w:lineRule="atLeast"/>
              <w:rPr>
                <w:rFonts w:ascii="Arial" w:eastAsia="Times New Roman" w:hAnsi="Arial" w:cs="Arial"/>
                <w:color w:val="000000"/>
                <w:sz w:val="18"/>
                <w:szCs w:val="18"/>
                <w:lang w:eastAsia="en-GB"/>
              </w:rPr>
            </w:pPr>
            <w:r>
              <w:rPr>
                <w:rFonts w:ascii="Arial" w:eastAsia="Times New Roman" w:hAnsi="Arial" w:cs="Arial"/>
                <w:color w:val="000000"/>
                <w:sz w:val="20"/>
                <w:szCs w:val="20"/>
                <w:lang w:eastAsia="en-GB"/>
              </w:rPr>
              <w:t>(Repayment)/p</w:t>
            </w:r>
            <w:r w:rsidRPr="00406FCB">
              <w:rPr>
                <w:rFonts w:ascii="Arial" w:eastAsia="Times New Roman" w:hAnsi="Arial" w:cs="Arial"/>
                <w:color w:val="000000"/>
                <w:sz w:val="20"/>
                <w:szCs w:val="20"/>
                <w:lang w:eastAsia="en-GB"/>
              </w:rPr>
              <w:t xml:space="preserve">roceeds from </w:t>
            </w:r>
            <w:r>
              <w:rPr>
                <w:rFonts w:ascii="Arial" w:eastAsia="Times New Roman" w:hAnsi="Arial" w:cs="Arial"/>
                <w:color w:val="000000"/>
                <w:sz w:val="20"/>
                <w:szCs w:val="20"/>
                <w:lang w:eastAsia="en-GB"/>
              </w:rPr>
              <w:t>bank loan</w:t>
            </w:r>
          </w:p>
        </w:tc>
        <w:tc>
          <w:tcPr>
            <w:tcW w:w="1415" w:type="dxa"/>
            <w:tcBorders>
              <w:top w:val="nil"/>
              <w:left w:val="nil"/>
              <w:bottom w:val="dotted" w:sz="8" w:space="0" w:color="auto"/>
              <w:right w:val="dotted" w:sz="8" w:space="0" w:color="auto"/>
            </w:tcBorders>
          </w:tcPr>
          <w:p w14:paraId="1D71BD32" w14:textId="71C710F7" w:rsidR="001A6CDF" w:rsidRPr="00406FCB" w:rsidRDefault="004631ED"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t>
            </w:r>
          </w:p>
        </w:tc>
        <w:tc>
          <w:tcPr>
            <w:tcW w:w="1417" w:type="dxa"/>
            <w:tcBorders>
              <w:top w:val="nil"/>
              <w:left w:val="nil"/>
              <w:bottom w:val="dotted" w:sz="8" w:space="0" w:color="auto"/>
              <w:right w:val="dotted" w:sz="8" w:space="0" w:color="auto"/>
            </w:tcBorders>
            <w:hideMark/>
          </w:tcPr>
          <w:p w14:paraId="2F73EB20" w14:textId="0712368D" w:rsidR="001A6CDF" w:rsidRPr="007D2D71" w:rsidRDefault="001A6CDF" w:rsidP="001A6CDF">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(50)</w:t>
            </w:r>
          </w:p>
        </w:tc>
        <w:tc>
          <w:tcPr>
            <w:tcW w:w="1418" w:type="dxa"/>
            <w:tcBorders>
              <w:top w:val="nil"/>
              <w:left w:val="nil"/>
              <w:bottom w:val="dotted" w:sz="8" w:space="0" w:color="auto"/>
              <w:right w:val="dotted" w:sz="8" w:space="0" w:color="auto"/>
            </w:tcBorders>
            <w:vAlign w:val="bottom"/>
          </w:tcPr>
          <w:p w14:paraId="0D0FFACD" w14:textId="0A9BCF0B" w:rsidR="001A6CDF" w:rsidRPr="00406FCB" w:rsidRDefault="001A6CDF" w:rsidP="001A6CDF">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(50)</w:t>
            </w:r>
          </w:p>
        </w:tc>
      </w:tr>
      <w:tr w:rsidR="001A6CDF" w:rsidRPr="00406FCB" w14:paraId="3AB8E9AA" w14:textId="77777777" w:rsidTr="00406FCB">
        <w:trPr>
          <w:trHeight w:val="60"/>
        </w:trPr>
        <w:tc>
          <w:tcPr>
            <w:tcW w:w="5230" w:type="dxa"/>
            <w:tcBorders>
              <w:top w:val="nil"/>
              <w:left w:val="dotted" w:sz="8" w:space="0" w:color="auto"/>
              <w:bottom w:val="dotted" w:sz="8" w:space="0" w:color="auto"/>
              <w:right w:val="dotted" w:sz="8" w:space="0" w:color="auto"/>
            </w:tcBorders>
            <w:vAlign w:val="bottom"/>
          </w:tcPr>
          <w:p w14:paraId="21BF4E0A" w14:textId="4797A98B" w:rsidR="001A6CDF" w:rsidRPr="00406FCB" w:rsidRDefault="001A6CDF" w:rsidP="001A6CDF">
            <w:pPr>
              <w:spacing w:after="0" w:line="207"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Lease payments</w:t>
            </w:r>
          </w:p>
        </w:tc>
        <w:tc>
          <w:tcPr>
            <w:tcW w:w="1415" w:type="dxa"/>
            <w:tcBorders>
              <w:top w:val="nil"/>
              <w:left w:val="nil"/>
              <w:bottom w:val="dotted" w:sz="8" w:space="0" w:color="auto"/>
              <w:right w:val="dotted" w:sz="8" w:space="0" w:color="auto"/>
            </w:tcBorders>
          </w:tcPr>
          <w:p w14:paraId="43219519" w14:textId="53F65AA6" w:rsidR="001A6CDF" w:rsidRPr="00406FCB" w:rsidRDefault="00B80E8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(16)</w:t>
            </w:r>
          </w:p>
        </w:tc>
        <w:tc>
          <w:tcPr>
            <w:tcW w:w="1417" w:type="dxa"/>
            <w:tcBorders>
              <w:top w:val="nil"/>
              <w:left w:val="nil"/>
              <w:bottom w:val="dotted" w:sz="8" w:space="0" w:color="auto"/>
              <w:right w:val="dotted" w:sz="8" w:space="0" w:color="auto"/>
            </w:tcBorders>
          </w:tcPr>
          <w:p w14:paraId="7A61B426" w14:textId="44451803" w:rsidR="001A6CDF" w:rsidRPr="007D2D71" w:rsidRDefault="001A6CDF" w:rsidP="001A6CDF">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(21)</w:t>
            </w:r>
          </w:p>
        </w:tc>
        <w:tc>
          <w:tcPr>
            <w:tcW w:w="1418" w:type="dxa"/>
            <w:tcBorders>
              <w:top w:val="nil"/>
              <w:left w:val="nil"/>
              <w:bottom w:val="dotted" w:sz="8" w:space="0" w:color="auto"/>
              <w:right w:val="dotted" w:sz="8" w:space="0" w:color="auto"/>
            </w:tcBorders>
            <w:vAlign w:val="bottom"/>
          </w:tcPr>
          <w:p w14:paraId="11490E5E" w14:textId="40B87815" w:rsidR="001A6CDF" w:rsidRPr="00406FCB" w:rsidRDefault="001A6CDF" w:rsidP="001A6CDF">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w:t>
            </w:r>
            <w:r w:rsidR="00687C46">
              <w:rPr>
                <w:rFonts w:ascii="Arial" w:eastAsia="Times New Roman" w:hAnsi="Arial" w:cs="Arial"/>
                <w:color w:val="000000"/>
                <w:sz w:val="18"/>
                <w:szCs w:val="18"/>
                <w:lang w:eastAsia="en-GB"/>
              </w:rPr>
              <w:t>6</w:t>
            </w:r>
            <w:r>
              <w:rPr>
                <w:rFonts w:ascii="Arial" w:eastAsia="Times New Roman" w:hAnsi="Arial" w:cs="Arial"/>
                <w:color w:val="000000"/>
                <w:sz w:val="18"/>
                <w:szCs w:val="18"/>
                <w:lang w:eastAsia="en-GB"/>
              </w:rPr>
              <w:t>)</w:t>
            </w:r>
          </w:p>
        </w:tc>
      </w:tr>
      <w:tr w:rsidR="001A6CDF" w:rsidRPr="00406FCB" w14:paraId="181B9021"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01018D6B" w14:textId="0AEF5F48"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 xml:space="preserve">Net cash </w:t>
            </w:r>
            <w:r w:rsidR="009B26DF">
              <w:rPr>
                <w:rFonts w:ascii="Arial" w:eastAsia="Times New Roman" w:hAnsi="Arial" w:cs="Arial"/>
                <w:b/>
                <w:bCs/>
                <w:color w:val="000000"/>
                <w:sz w:val="20"/>
                <w:szCs w:val="20"/>
                <w:lang w:eastAsia="en-GB"/>
              </w:rPr>
              <w:t>used in</w:t>
            </w:r>
            <w:r w:rsidRPr="00406FCB">
              <w:rPr>
                <w:rFonts w:ascii="Arial" w:eastAsia="Times New Roman" w:hAnsi="Arial" w:cs="Arial"/>
                <w:b/>
                <w:bCs/>
                <w:color w:val="000000"/>
                <w:sz w:val="20"/>
                <w:szCs w:val="20"/>
                <w:lang w:eastAsia="en-GB"/>
              </w:rPr>
              <w:t xml:space="preserve"> financing activities</w:t>
            </w:r>
          </w:p>
        </w:tc>
        <w:tc>
          <w:tcPr>
            <w:tcW w:w="1415" w:type="dxa"/>
            <w:tcBorders>
              <w:top w:val="nil"/>
              <w:left w:val="nil"/>
              <w:bottom w:val="dotted" w:sz="8" w:space="0" w:color="auto"/>
              <w:right w:val="dotted" w:sz="8" w:space="0" w:color="auto"/>
            </w:tcBorders>
          </w:tcPr>
          <w:p w14:paraId="339ADFC5" w14:textId="40097D99" w:rsidR="001A6CDF" w:rsidRPr="00406FCB" w:rsidRDefault="00B80E82"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(6)</w:t>
            </w:r>
          </w:p>
        </w:tc>
        <w:tc>
          <w:tcPr>
            <w:tcW w:w="1417" w:type="dxa"/>
            <w:tcBorders>
              <w:top w:val="nil"/>
              <w:left w:val="nil"/>
              <w:bottom w:val="dotted" w:sz="8" w:space="0" w:color="auto"/>
              <w:right w:val="dotted" w:sz="8" w:space="0" w:color="auto"/>
            </w:tcBorders>
            <w:hideMark/>
          </w:tcPr>
          <w:p w14:paraId="57874E40" w14:textId="6BACC27F"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(71)</w:t>
            </w:r>
          </w:p>
        </w:tc>
        <w:tc>
          <w:tcPr>
            <w:tcW w:w="1418" w:type="dxa"/>
            <w:tcBorders>
              <w:top w:val="nil"/>
              <w:left w:val="nil"/>
              <w:bottom w:val="dotted" w:sz="8" w:space="0" w:color="auto"/>
              <w:right w:val="dotted" w:sz="8" w:space="0" w:color="auto"/>
            </w:tcBorders>
            <w:vAlign w:val="bottom"/>
          </w:tcPr>
          <w:p w14:paraId="7CD1CFBD" w14:textId="5AF71417"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(9</w:t>
            </w:r>
            <w:r w:rsidR="00687C46">
              <w:rPr>
                <w:rFonts w:ascii="Arial" w:eastAsia="Times New Roman" w:hAnsi="Arial" w:cs="Arial"/>
                <w:b/>
                <w:bCs/>
                <w:color w:val="000000"/>
                <w:sz w:val="18"/>
                <w:szCs w:val="18"/>
                <w:lang w:eastAsia="en-GB"/>
              </w:rPr>
              <w:t>6</w:t>
            </w:r>
            <w:r>
              <w:rPr>
                <w:rFonts w:ascii="Arial" w:eastAsia="Times New Roman" w:hAnsi="Arial" w:cs="Arial"/>
                <w:b/>
                <w:bCs/>
                <w:color w:val="000000"/>
                <w:sz w:val="18"/>
                <w:szCs w:val="18"/>
                <w:lang w:eastAsia="en-GB"/>
              </w:rPr>
              <w:t>)</w:t>
            </w:r>
          </w:p>
        </w:tc>
      </w:tr>
      <w:tr w:rsidR="001A6CDF" w:rsidRPr="00406FCB" w14:paraId="19A1D092"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74750F3D"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18"/>
                <w:szCs w:val="18"/>
                <w:lang w:eastAsia="en-GB"/>
              </w:rPr>
              <w:t> </w:t>
            </w:r>
          </w:p>
        </w:tc>
        <w:tc>
          <w:tcPr>
            <w:tcW w:w="1415" w:type="dxa"/>
            <w:tcBorders>
              <w:top w:val="nil"/>
              <w:left w:val="nil"/>
              <w:bottom w:val="dotted" w:sz="8" w:space="0" w:color="auto"/>
              <w:right w:val="dotted" w:sz="8" w:space="0" w:color="auto"/>
            </w:tcBorders>
          </w:tcPr>
          <w:p w14:paraId="49D67B6A" w14:textId="7F677F50"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p>
        </w:tc>
        <w:tc>
          <w:tcPr>
            <w:tcW w:w="1417" w:type="dxa"/>
            <w:tcBorders>
              <w:top w:val="nil"/>
              <w:left w:val="nil"/>
              <w:bottom w:val="dotted" w:sz="8" w:space="0" w:color="auto"/>
              <w:right w:val="dotted" w:sz="8" w:space="0" w:color="auto"/>
            </w:tcBorders>
            <w:hideMark/>
          </w:tcPr>
          <w:p w14:paraId="44496CD8" w14:textId="237CBB8A" w:rsidR="001A6CDF" w:rsidRPr="00406FCB" w:rsidRDefault="001A6CDF" w:rsidP="001A6CDF">
            <w:pPr>
              <w:spacing w:after="0" w:line="207" w:lineRule="atLeast"/>
              <w:jc w:val="right"/>
              <w:rPr>
                <w:rFonts w:ascii="Arial" w:eastAsia="Times New Roman" w:hAnsi="Arial" w:cs="Arial"/>
                <w:color w:val="000000"/>
                <w:sz w:val="18"/>
                <w:szCs w:val="18"/>
                <w:lang w:eastAsia="en-GB"/>
              </w:rPr>
            </w:pPr>
          </w:p>
        </w:tc>
        <w:tc>
          <w:tcPr>
            <w:tcW w:w="1418" w:type="dxa"/>
            <w:tcBorders>
              <w:top w:val="nil"/>
              <w:left w:val="nil"/>
              <w:bottom w:val="dotted" w:sz="8" w:space="0" w:color="auto"/>
              <w:right w:val="dotted" w:sz="8" w:space="0" w:color="auto"/>
            </w:tcBorders>
            <w:vAlign w:val="bottom"/>
          </w:tcPr>
          <w:p w14:paraId="4FE1846B" w14:textId="28A978C1"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p>
        </w:tc>
      </w:tr>
      <w:tr w:rsidR="001A6CDF" w:rsidRPr="00406FCB" w14:paraId="55165F0F"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6FCB2064" w14:textId="4BBF44D8"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 xml:space="preserve">Net </w:t>
            </w:r>
            <w:r>
              <w:rPr>
                <w:rFonts w:ascii="Arial" w:eastAsia="Times New Roman" w:hAnsi="Arial" w:cs="Arial"/>
                <w:b/>
                <w:bCs/>
                <w:color w:val="000000"/>
                <w:sz w:val="20"/>
                <w:szCs w:val="20"/>
                <w:lang w:eastAsia="en-GB"/>
              </w:rPr>
              <w:t>decrease</w:t>
            </w:r>
            <w:r w:rsidRPr="00406FCB">
              <w:rPr>
                <w:rFonts w:ascii="Arial" w:eastAsia="Times New Roman" w:hAnsi="Arial" w:cs="Arial"/>
                <w:b/>
                <w:bCs/>
                <w:color w:val="000000"/>
                <w:sz w:val="20"/>
                <w:szCs w:val="20"/>
                <w:lang w:eastAsia="en-GB"/>
              </w:rPr>
              <w:t xml:space="preserve"> in cash and cash equivalents</w:t>
            </w:r>
          </w:p>
        </w:tc>
        <w:tc>
          <w:tcPr>
            <w:tcW w:w="1415" w:type="dxa"/>
            <w:tcBorders>
              <w:top w:val="nil"/>
              <w:left w:val="nil"/>
              <w:bottom w:val="dotted" w:sz="8" w:space="0" w:color="auto"/>
              <w:right w:val="dotted" w:sz="8" w:space="0" w:color="auto"/>
            </w:tcBorders>
          </w:tcPr>
          <w:p w14:paraId="5EA694BD" w14:textId="4CF18178" w:rsidR="001A6CDF" w:rsidRPr="00406FCB" w:rsidRDefault="007344E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(409)</w:t>
            </w:r>
          </w:p>
        </w:tc>
        <w:tc>
          <w:tcPr>
            <w:tcW w:w="1417" w:type="dxa"/>
            <w:tcBorders>
              <w:top w:val="nil"/>
              <w:left w:val="nil"/>
              <w:bottom w:val="dotted" w:sz="8" w:space="0" w:color="auto"/>
              <w:right w:val="dotted" w:sz="8" w:space="0" w:color="auto"/>
            </w:tcBorders>
            <w:hideMark/>
          </w:tcPr>
          <w:p w14:paraId="37A4EC9B" w14:textId="066FC789"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(362)</w:t>
            </w:r>
          </w:p>
        </w:tc>
        <w:tc>
          <w:tcPr>
            <w:tcW w:w="1418" w:type="dxa"/>
            <w:tcBorders>
              <w:top w:val="nil"/>
              <w:left w:val="nil"/>
              <w:bottom w:val="dotted" w:sz="8" w:space="0" w:color="auto"/>
              <w:right w:val="dotted" w:sz="8" w:space="0" w:color="auto"/>
            </w:tcBorders>
            <w:vAlign w:val="bottom"/>
          </w:tcPr>
          <w:p w14:paraId="4D15B6E5" w14:textId="1E639052"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(22</w:t>
            </w:r>
            <w:r w:rsidR="00687C46">
              <w:rPr>
                <w:rFonts w:ascii="Arial" w:eastAsia="Times New Roman" w:hAnsi="Arial" w:cs="Arial"/>
                <w:b/>
                <w:bCs/>
                <w:color w:val="000000"/>
                <w:sz w:val="18"/>
                <w:szCs w:val="18"/>
                <w:lang w:eastAsia="en-GB"/>
              </w:rPr>
              <w:t>4</w:t>
            </w:r>
            <w:r>
              <w:rPr>
                <w:rFonts w:ascii="Arial" w:eastAsia="Times New Roman" w:hAnsi="Arial" w:cs="Arial"/>
                <w:b/>
                <w:bCs/>
                <w:color w:val="000000"/>
                <w:sz w:val="18"/>
                <w:szCs w:val="18"/>
                <w:lang w:eastAsia="en-GB"/>
              </w:rPr>
              <w:t>)</w:t>
            </w:r>
          </w:p>
        </w:tc>
      </w:tr>
      <w:tr w:rsidR="001A6CDF" w:rsidRPr="00406FCB" w14:paraId="518047E7"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5649A38E"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color w:val="000000"/>
                <w:sz w:val="20"/>
                <w:szCs w:val="20"/>
                <w:lang w:eastAsia="en-GB"/>
              </w:rPr>
              <w:t>Cash and cash equivalents at beginning of period</w:t>
            </w:r>
          </w:p>
        </w:tc>
        <w:tc>
          <w:tcPr>
            <w:tcW w:w="1415" w:type="dxa"/>
            <w:tcBorders>
              <w:top w:val="nil"/>
              <w:left w:val="nil"/>
              <w:bottom w:val="dotted" w:sz="8" w:space="0" w:color="auto"/>
              <w:right w:val="dotted" w:sz="8" w:space="0" w:color="auto"/>
            </w:tcBorders>
          </w:tcPr>
          <w:p w14:paraId="62146802" w14:textId="021BB071" w:rsidR="001A6CDF" w:rsidRPr="00406FCB" w:rsidRDefault="00687C46"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1,186</w:t>
            </w:r>
          </w:p>
        </w:tc>
        <w:tc>
          <w:tcPr>
            <w:tcW w:w="1417" w:type="dxa"/>
            <w:tcBorders>
              <w:top w:val="nil"/>
              <w:left w:val="nil"/>
              <w:bottom w:val="dotted" w:sz="8" w:space="0" w:color="auto"/>
              <w:right w:val="dotted" w:sz="8" w:space="0" w:color="auto"/>
            </w:tcBorders>
            <w:hideMark/>
          </w:tcPr>
          <w:p w14:paraId="43E7045F" w14:textId="70BB9A84" w:rsidR="001A6CDF" w:rsidRPr="007D2D71" w:rsidRDefault="001A6CDF" w:rsidP="001A6CDF">
            <w:pPr>
              <w:spacing w:after="0" w:line="207" w:lineRule="atLeast"/>
              <w:jc w:val="right"/>
              <w:rPr>
                <w:rFonts w:ascii="Arial" w:eastAsia="Times New Roman" w:hAnsi="Arial" w:cs="Arial"/>
                <w:color w:val="000000"/>
                <w:sz w:val="18"/>
                <w:szCs w:val="18"/>
                <w:lang w:eastAsia="en-GB"/>
              </w:rPr>
            </w:pPr>
            <w:r w:rsidRPr="007D2D71">
              <w:rPr>
                <w:rFonts w:ascii="Arial" w:eastAsia="Times New Roman" w:hAnsi="Arial" w:cs="Arial"/>
                <w:color w:val="000000"/>
                <w:sz w:val="18"/>
                <w:szCs w:val="18"/>
                <w:lang w:eastAsia="en-GB"/>
              </w:rPr>
              <w:t>1,410</w:t>
            </w:r>
          </w:p>
        </w:tc>
        <w:tc>
          <w:tcPr>
            <w:tcW w:w="1418" w:type="dxa"/>
            <w:tcBorders>
              <w:top w:val="nil"/>
              <w:left w:val="nil"/>
              <w:bottom w:val="dotted" w:sz="8" w:space="0" w:color="auto"/>
              <w:right w:val="dotted" w:sz="8" w:space="0" w:color="auto"/>
            </w:tcBorders>
            <w:vAlign w:val="bottom"/>
          </w:tcPr>
          <w:p w14:paraId="109F7CB8" w14:textId="6F96BFF4" w:rsidR="001A6CDF" w:rsidRPr="00406FCB" w:rsidRDefault="001A6CDF" w:rsidP="001A6CDF">
            <w:pPr>
              <w:spacing w:after="0" w:line="207" w:lineRule="atLeast"/>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1,410</w:t>
            </w:r>
          </w:p>
        </w:tc>
      </w:tr>
      <w:tr w:rsidR="001A6CDF" w:rsidRPr="002F44AF" w14:paraId="03D20EED" w14:textId="77777777" w:rsidTr="00406FCB">
        <w:trPr>
          <w:trHeight w:val="60"/>
        </w:trPr>
        <w:tc>
          <w:tcPr>
            <w:tcW w:w="5230" w:type="dxa"/>
            <w:tcBorders>
              <w:top w:val="nil"/>
              <w:left w:val="dotted" w:sz="8" w:space="0" w:color="auto"/>
              <w:bottom w:val="dotted" w:sz="8" w:space="0" w:color="auto"/>
              <w:right w:val="dotted" w:sz="8" w:space="0" w:color="auto"/>
            </w:tcBorders>
            <w:vAlign w:val="bottom"/>
            <w:hideMark/>
          </w:tcPr>
          <w:p w14:paraId="41535770" w14:textId="77777777" w:rsidR="001A6CDF" w:rsidRPr="00406FCB" w:rsidRDefault="001A6CDF" w:rsidP="001A6CDF">
            <w:pPr>
              <w:spacing w:after="0" w:line="207" w:lineRule="atLeast"/>
              <w:rPr>
                <w:rFonts w:ascii="Arial" w:eastAsia="Times New Roman" w:hAnsi="Arial" w:cs="Arial"/>
                <w:color w:val="000000"/>
                <w:sz w:val="18"/>
                <w:szCs w:val="18"/>
                <w:lang w:eastAsia="en-GB"/>
              </w:rPr>
            </w:pPr>
            <w:r w:rsidRPr="00406FCB">
              <w:rPr>
                <w:rFonts w:ascii="Arial" w:eastAsia="Times New Roman" w:hAnsi="Arial" w:cs="Arial"/>
                <w:b/>
                <w:bCs/>
                <w:color w:val="000000"/>
                <w:sz w:val="20"/>
                <w:szCs w:val="20"/>
                <w:lang w:eastAsia="en-GB"/>
              </w:rPr>
              <w:t>Cash and cash equivalents at end of period</w:t>
            </w:r>
          </w:p>
        </w:tc>
        <w:tc>
          <w:tcPr>
            <w:tcW w:w="1415" w:type="dxa"/>
            <w:tcBorders>
              <w:top w:val="nil"/>
              <w:left w:val="nil"/>
              <w:bottom w:val="dotted" w:sz="8" w:space="0" w:color="auto"/>
              <w:right w:val="dotted" w:sz="8" w:space="0" w:color="auto"/>
            </w:tcBorders>
          </w:tcPr>
          <w:p w14:paraId="354E3A75" w14:textId="3EE86B12" w:rsidR="001A6CDF" w:rsidRPr="00406FCB" w:rsidRDefault="007344E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777</w:t>
            </w:r>
          </w:p>
        </w:tc>
        <w:tc>
          <w:tcPr>
            <w:tcW w:w="1417" w:type="dxa"/>
            <w:tcBorders>
              <w:top w:val="nil"/>
              <w:left w:val="nil"/>
              <w:bottom w:val="dotted" w:sz="8" w:space="0" w:color="auto"/>
              <w:right w:val="dotted" w:sz="8" w:space="0" w:color="auto"/>
            </w:tcBorders>
            <w:hideMark/>
          </w:tcPr>
          <w:p w14:paraId="15255B05" w14:textId="3967F338" w:rsidR="001A6CDF" w:rsidRPr="00406FCB"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1,048</w:t>
            </w:r>
          </w:p>
        </w:tc>
        <w:tc>
          <w:tcPr>
            <w:tcW w:w="1418" w:type="dxa"/>
            <w:tcBorders>
              <w:top w:val="nil"/>
              <w:left w:val="nil"/>
              <w:bottom w:val="dotted" w:sz="8" w:space="0" w:color="auto"/>
              <w:right w:val="dotted" w:sz="8" w:space="0" w:color="auto"/>
            </w:tcBorders>
            <w:vAlign w:val="bottom"/>
          </w:tcPr>
          <w:p w14:paraId="5521915A" w14:textId="096339AE" w:rsidR="001A6CDF" w:rsidRPr="002F44AF" w:rsidRDefault="001A6CDF" w:rsidP="001A6CDF">
            <w:pPr>
              <w:spacing w:after="0" w:line="207" w:lineRule="atLeast"/>
              <w:jc w:val="right"/>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1,18</w:t>
            </w:r>
            <w:r w:rsidR="00687C46">
              <w:rPr>
                <w:rFonts w:ascii="Arial" w:eastAsia="Times New Roman" w:hAnsi="Arial" w:cs="Arial"/>
                <w:b/>
                <w:bCs/>
                <w:color w:val="000000"/>
                <w:sz w:val="18"/>
                <w:szCs w:val="18"/>
                <w:lang w:eastAsia="en-GB"/>
              </w:rPr>
              <w:t>6</w:t>
            </w:r>
          </w:p>
        </w:tc>
      </w:tr>
    </w:tbl>
    <w:p w14:paraId="2C935CC9" w14:textId="77777777" w:rsidR="002C5B2A" w:rsidRPr="002F44AF" w:rsidRDefault="002C5B2A" w:rsidP="002C5B2A">
      <w:pPr>
        <w:spacing w:before="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2C5B57D3" w14:textId="605E5AEC" w:rsidR="008D624E" w:rsidRDefault="002C5B2A" w:rsidP="002C5B2A">
      <w:pPr>
        <w:spacing w:before="100" w:beforeAutospacing="1" w:after="100" w:afterAutospacing="1" w:line="240" w:lineRule="auto"/>
        <w:rPr>
          <w:rFonts w:ascii="Times New Roman" w:eastAsia="Times New Roman" w:hAnsi="Times New Roman" w:cs="Times New Roman"/>
          <w:b/>
          <w:bCs/>
          <w:color w:val="000000"/>
          <w:sz w:val="27"/>
          <w:szCs w:val="27"/>
          <w:lang w:eastAsia="en-GB"/>
        </w:rPr>
      </w:pPr>
      <w:r w:rsidRPr="002F44AF">
        <w:rPr>
          <w:rFonts w:ascii="Times New Roman" w:eastAsia="Times New Roman" w:hAnsi="Times New Roman" w:cs="Times New Roman"/>
          <w:b/>
          <w:bCs/>
          <w:color w:val="000000"/>
          <w:sz w:val="27"/>
          <w:szCs w:val="27"/>
          <w:lang w:eastAsia="en-GB"/>
        </w:rPr>
        <w:t> </w:t>
      </w:r>
    </w:p>
    <w:p w14:paraId="1ED2EC7F" w14:textId="77777777" w:rsidR="008D624E" w:rsidRDefault="008D624E">
      <w:pPr>
        <w:spacing w:after="160" w:line="259" w:lineRule="auto"/>
        <w:rPr>
          <w:rFonts w:ascii="Times New Roman" w:eastAsia="Times New Roman" w:hAnsi="Times New Roman" w:cs="Times New Roman"/>
          <w:b/>
          <w:bCs/>
          <w:color w:val="000000"/>
          <w:sz w:val="27"/>
          <w:szCs w:val="27"/>
          <w:lang w:eastAsia="en-GB"/>
        </w:rPr>
      </w:pPr>
      <w:r>
        <w:rPr>
          <w:rFonts w:ascii="Times New Roman" w:eastAsia="Times New Roman" w:hAnsi="Times New Roman" w:cs="Times New Roman"/>
          <w:b/>
          <w:bCs/>
          <w:color w:val="000000"/>
          <w:sz w:val="27"/>
          <w:szCs w:val="27"/>
          <w:lang w:eastAsia="en-GB"/>
        </w:rPr>
        <w:br w:type="page"/>
      </w:r>
    </w:p>
    <w:p w14:paraId="4744F419" w14:textId="77777777" w:rsidR="002C5B2A" w:rsidRPr="008D624E" w:rsidRDefault="002C5B2A" w:rsidP="002C5B2A">
      <w:pPr>
        <w:spacing w:after="0" w:line="360" w:lineRule="atLeast"/>
        <w:rPr>
          <w:rFonts w:ascii="Arial" w:eastAsia="Times New Roman" w:hAnsi="Arial" w:cs="Arial"/>
          <w:b/>
          <w:bCs/>
          <w:color w:val="000000"/>
          <w:sz w:val="32"/>
          <w:szCs w:val="32"/>
          <w:lang w:eastAsia="en-GB"/>
        </w:rPr>
      </w:pPr>
      <w:r w:rsidRPr="008D624E">
        <w:rPr>
          <w:rFonts w:ascii="Arial" w:eastAsia="Times New Roman" w:hAnsi="Arial" w:cs="Arial"/>
          <w:b/>
          <w:bCs/>
          <w:color w:val="000000"/>
          <w:sz w:val="20"/>
          <w:szCs w:val="20"/>
          <w:lang w:eastAsia="en-GB"/>
        </w:rPr>
        <w:lastRenderedPageBreak/>
        <w:t>Notes to the unaudited interim financial statements</w:t>
      </w:r>
    </w:p>
    <w:p w14:paraId="3B5530A2" w14:textId="19FFC2B4" w:rsidR="002C5B2A" w:rsidRPr="008D624E" w:rsidRDefault="002C5B2A" w:rsidP="002C5B2A">
      <w:pPr>
        <w:spacing w:after="0" w:line="240" w:lineRule="atLeast"/>
        <w:rPr>
          <w:rFonts w:ascii="Arial" w:eastAsia="Times New Roman" w:hAnsi="Arial" w:cs="Arial"/>
          <w:b/>
          <w:bCs/>
          <w:color w:val="000000"/>
          <w:sz w:val="32"/>
          <w:szCs w:val="32"/>
          <w:lang w:eastAsia="en-GB"/>
        </w:rPr>
      </w:pPr>
      <w:r w:rsidRPr="008D624E">
        <w:rPr>
          <w:rFonts w:ascii="Arial" w:eastAsia="Times New Roman" w:hAnsi="Arial" w:cs="Arial"/>
          <w:b/>
          <w:bCs/>
          <w:color w:val="000000"/>
          <w:sz w:val="20"/>
          <w:szCs w:val="20"/>
          <w:lang w:eastAsia="en-GB"/>
        </w:rPr>
        <w:t>For the six months ended 31 March 20</w:t>
      </w:r>
      <w:r w:rsidR="003A1383">
        <w:rPr>
          <w:rFonts w:ascii="Arial" w:eastAsia="Times New Roman" w:hAnsi="Arial" w:cs="Arial"/>
          <w:b/>
          <w:bCs/>
          <w:color w:val="000000"/>
          <w:sz w:val="20"/>
          <w:szCs w:val="20"/>
          <w:lang w:eastAsia="en-GB"/>
        </w:rPr>
        <w:t>2</w:t>
      </w:r>
      <w:r w:rsidR="007D2D71">
        <w:rPr>
          <w:rFonts w:ascii="Arial" w:eastAsia="Times New Roman" w:hAnsi="Arial" w:cs="Arial"/>
          <w:b/>
          <w:bCs/>
          <w:color w:val="000000"/>
          <w:sz w:val="20"/>
          <w:szCs w:val="20"/>
          <w:lang w:eastAsia="en-GB"/>
        </w:rPr>
        <w:t>2</w:t>
      </w:r>
    </w:p>
    <w:p w14:paraId="4E37909D"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44B3C81A"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1 Basis of preparation</w:t>
      </w:r>
    </w:p>
    <w:p w14:paraId="40106AF5" w14:textId="172E0B69"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xml:space="preserve">The interim financial statements, which are unaudited, have been prepared </w:t>
      </w:r>
      <w:proofErr w:type="gramStart"/>
      <w:r w:rsidRPr="002F44AF">
        <w:rPr>
          <w:rFonts w:ascii="Arial" w:eastAsia="Times New Roman" w:hAnsi="Arial" w:cs="Arial"/>
          <w:color w:val="000000"/>
          <w:sz w:val="20"/>
          <w:szCs w:val="20"/>
          <w:lang w:eastAsia="en-GB"/>
        </w:rPr>
        <w:t>on the basis of</w:t>
      </w:r>
      <w:proofErr w:type="gramEnd"/>
      <w:r w:rsidRPr="002F44AF">
        <w:rPr>
          <w:rFonts w:ascii="Arial" w:eastAsia="Times New Roman" w:hAnsi="Arial" w:cs="Arial"/>
          <w:color w:val="000000"/>
          <w:sz w:val="20"/>
          <w:szCs w:val="20"/>
          <w:lang w:eastAsia="en-GB"/>
        </w:rPr>
        <w:t xml:space="preserve"> the accounting policies expected to apply for the financial year to 30 September 20</w:t>
      </w:r>
      <w:r w:rsidR="003A1383">
        <w:rPr>
          <w:rFonts w:ascii="Arial" w:eastAsia="Times New Roman" w:hAnsi="Arial" w:cs="Arial"/>
          <w:color w:val="000000"/>
          <w:sz w:val="20"/>
          <w:szCs w:val="20"/>
          <w:lang w:eastAsia="en-GB"/>
        </w:rPr>
        <w:t>2</w:t>
      </w:r>
      <w:r w:rsidR="007D2D71">
        <w:rPr>
          <w:rFonts w:ascii="Arial" w:eastAsia="Times New Roman" w:hAnsi="Arial" w:cs="Arial"/>
          <w:color w:val="000000"/>
          <w:sz w:val="20"/>
          <w:szCs w:val="20"/>
          <w:lang w:eastAsia="en-GB"/>
        </w:rPr>
        <w:t>2</w:t>
      </w:r>
      <w:r w:rsidRPr="002F44AF">
        <w:rPr>
          <w:rFonts w:ascii="Arial" w:eastAsia="Times New Roman" w:hAnsi="Arial" w:cs="Arial"/>
          <w:color w:val="000000"/>
          <w:sz w:val="20"/>
          <w:szCs w:val="20"/>
          <w:lang w:eastAsia="en-GB"/>
        </w:rPr>
        <w:t xml:space="preserve"> and in accordance with recognition and measurement principles of International Financial Reporting Standards ('IFRSs') as endorsed by the European Union. The accounting policies applied in the preparation of these interim financial statements are consistent with those used in the financial statements for the year ended 30 September 20</w:t>
      </w:r>
      <w:r w:rsidR="002C7E5C">
        <w:rPr>
          <w:rFonts w:ascii="Arial" w:eastAsia="Times New Roman" w:hAnsi="Arial" w:cs="Arial"/>
          <w:color w:val="000000"/>
          <w:sz w:val="20"/>
          <w:szCs w:val="20"/>
          <w:lang w:eastAsia="en-GB"/>
        </w:rPr>
        <w:t>2</w:t>
      </w:r>
      <w:r w:rsidR="00DE6DA3">
        <w:rPr>
          <w:rFonts w:ascii="Arial" w:eastAsia="Times New Roman" w:hAnsi="Arial" w:cs="Arial"/>
          <w:color w:val="000000"/>
          <w:sz w:val="20"/>
          <w:szCs w:val="20"/>
          <w:lang w:eastAsia="en-GB"/>
        </w:rPr>
        <w:t>1</w:t>
      </w:r>
      <w:r w:rsidRPr="002F44AF">
        <w:rPr>
          <w:rFonts w:ascii="Arial" w:eastAsia="Times New Roman" w:hAnsi="Arial" w:cs="Arial"/>
          <w:color w:val="000000"/>
          <w:sz w:val="20"/>
          <w:szCs w:val="20"/>
          <w:lang w:eastAsia="en-GB"/>
        </w:rPr>
        <w:t>.</w:t>
      </w:r>
    </w:p>
    <w:p w14:paraId="50E406DB"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56E7CED5"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xml:space="preserve">The interim financial statements do not include </w:t>
      </w:r>
      <w:proofErr w:type="gramStart"/>
      <w:r w:rsidRPr="002F44AF">
        <w:rPr>
          <w:rFonts w:ascii="Arial" w:eastAsia="Times New Roman" w:hAnsi="Arial" w:cs="Arial"/>
          <w:color w:val="000000"/>
          <w:sz w:val="20"/>
          <w:szCs w:val="20"/>
          <w:lang w:eastAsia="en-GB"/>
        </w:rPr>
        <w:t>all of</w:t>
      </w:r>
      <w:proofErr w:type="gramEnd"/>
      <w:r w:rsidRPr="002F44AF">
        <w:rPr>
          <w:rFonts w:ascii="Arial" w:eastAsia="Times New Roman" w:hAnsi="Arial" w:cs="Arial"/>
          <w:color w:val="000000"/>
          <w:sz w:val="20"/>
          <w:szCs w:val="20"/>
          <w:lang w:eastAsia="en-GB"/>
        </w:rPr>
        <w:t xml:space="preserve"> the information required for full annual financial statements and do not comply with all the disclosures in IAS 34 'Interim financial reporting'. Accordingly, whilst the interim statements have been prepared in accordance with IFRSs, they cannot be construed as being in full compliance with IFRSs.</w:t>
      </w:r>
    </w:p>
    <w:p w14:paraId="15F6A1F7"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 </w:t>
      </w:r>
    </w:p>
    <w:p w14:paraId="31B03961" w14:textId="6A039DCF"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The financial information for the year ended 30 September 20</w:t>
      </w:r>
      <w:r w:rsidR="002C7E5C">
        <w:rPr>
          <w:rFonts w:ascii="Arial" w:eastAsia="Times New Roman" w:hAnsi="Arial" w:cs="Arial"/>
          <w:color w:val="000000"/>
          <w:sz w:val="20"/>
          <w:szCs w:val="20"/>
          <w:lang w:eastAsia="en-GB"/>
        </w:rPr>
        <w:t>2</w:t>
      </w:r>
      <w:r w:rsidR="007D2D71">
        <w:rPr>
          <w:rFonts w:ascii="Arial" w:eastAsia="Times New Roman" w:hAnsi="Arial" w:cs="Arial"/>
          <w:color w:val="000000"/>
          <w:sz w:val="20"/>
          <w:szCs w:val="20"/>
          <w:lang w:eastAsia="en-GB"/>
        </w:rPr>
        <w:t>1</w:t>
      </w:r>
      <w:r w:rsidRPr="002F44AF">
        <w:rPr>
          <w:rFonts w:ascii="Arial" w:eastAsia="Times New Roman" w:hAnsi="Arial" w:cs="Arial"/>
          <w:color w:val="000000"/>
          <w:sz w:val="20"/>
          <w:szCs w:val="20"/>
          <w:lang w:eastAsia="en-GB"/>
        </w:rPr>
        <w:t xml:space="preserve"> does not constitute the full statutory accounts for that period. The annual report and financial statements for the year ended 30 September 20</w:t>
      </w:r>
      <w:r w:rsidR="002C7E5C">
        <w:rPr>
          <w:rFonts w:ascii="Arial" w:eastAsia="Times New Roman" w:hAnsi="Arial" w:cs="Arial"/>
          <w:color w:val="000000"/>
          <w:sz w:val="20"/>
          <w:szCs w:val="20"/>
          <w:lang w:eastAsia="en-GB"/>
        </w:rPr>
        <w:t>2</w:t>
      </w:r>
      <w:r w:rsidR="007D2D71">
        <w:rPr>
          <w:rFonts w:ascii="Arial" w:eastAsia="Times New Roman" w:hAnsi="Arial" w:cs="Arial"/>
          <w:color w:val="000000"/>
          <w:sz w:val="20"/>
          <w:szCs w:val="20"/>
          <w:lang w:eastAsia="en-GB"/>
        </w:rPr>
        <w:t>1</w:t>
      </w:r>
      <w:r w:rsidRPr="002F44AF">
        <w:rPr>
          <w:rFonts w:ascii="Arial" w:eastAsia="Times New Roman" w:hAnsi="Arial" w:cs="Arial"/>
          <w:color w:val="000000"/>
          <w:sz w:val="20"/>
          <w:szCs w:val="20"/>
          <w:lang w:eastAsia="en-GB"/>
        </w:rPr>
        <w:t xml:space="preserve"> have been filed with the Registrar of Companies. The Independent auditor's report on the report and financial statements for the year ended 30 September 20</w:t>
      </w:r>
      <w:r w:rsidR="002C7E5C">
        <w:rPr>
          <w:rFonts w:ascii="Arial" w:eastAsia="Times New Roman" w:hAnsi="Arial" w:cs="Arial"/>
          <w:color w:val="000000"/>
          <w:sz w:val="20"/>
          <w:szCs w:val="20"/>
          <w:lang w:eastAsia="en-GB"/>
        </w:rPr>
        <w:t>2</w:t>
      </w:r>
      <w:r w:rsidR="007D2D71">
        <w:rPr>
          <w:rFonts w:ascii="Arial" w:eastAsia="Times New Roman" w:hAnsi="Arial" w:cs="Arial"/>
          <w:color w:val="000000"/>
          <w:sz w:val="20"/>
          <w:szCs w:val="20"/>
          <w:lang w:eastAsia="en-GB"/>
        </w:rPr>
        <w:t>1</w:t>
      </w:r>
      <w:r w:rsidRPr="002F44AF">
        <w:rPr>
          <w:rFonts w:ascii="Arial" w:eastAsia="Times New Roman" w:hAnsi="Arial" w:cs="Arial"/>
          <w:color w:val="000000"/>
          <w:sz w:val="20"/>
          <w:szCs w:val="20"/>
          <w:lang w:eastAsia="en-GB"/>
        </w:rPr>
        <w:t xml:space="preserve"> was unqualified, did not draw attention to any matters by way of emphasis, and did not contain a statement under Section 498(2) or 498(3) of the Companies Act 2006.</w:t>
      </w:r>
    </w:p>
    <w:p w14:paraId="5095FE00"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 </w:t>
      </w:r>
    </w:p>
    <w:p w14:paraId="253E35F2"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2 Going concern</w:t>
      </w:r>
    </w:p>
    <w:p w14:paraId="5EA846A0" w14:textId="777777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The interim financial information has been prepared on a going concern basis, which assumes that the Company will have adequate resources to continue in operational existence for the foreseeable future.</w:t>
      </w:r>
    </w:p>
    <w:p w14:paraId="78AA4D6D" w14:textId="77777777" w:rsidR="002C5B2A" w:rsidRPr="002F44AF" w:rsidRDefault="002C5B2A" w:rsidP="002C5B2A">
      <w:pPr>
        <w:spacing w:before="40" w:after="40" w:line="207" w:lineRule="atLeast"/>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 </w:t>
      </w:r>
    </w:p>
    <w:p w14:paraId="38693E9E" w14:textId="77777777" w:rsidR="002C5B2A" w:rsidRPr="00F52572" w:rsidRDefault="002C5B2A" w:rsidP="002C5B2A">
      <w:pPr>
        <w:spacing w:before="40" w:after="40" w:line="207" w:lineRule="atLeast"/>
        <w:rPr>
          <w:rFonts w:ascii="Arial" w:eastAsia="Times New Roman" w:hAnsi="Arial" w:cs="Arial"/>
          <w:b/>
          <w:bCs/>
          <w:color w:val="000000"/>
          <w:sz w:val="18"/>
          <w:szCs w:val="18"/>
          <w:lang w:eastAsia="en-GB"/>
        </w:rPr>
      </w:pPr>
      <w:r w:rsidRPr="00F52572">
        <w:rPr>
          <w:rFonts w:ascii="Arial" w:eastAsia="Times New Roman" w:hAnsi="Arial" w:cs="Arial"/>
          <w:b/>
          <w:bCs/>
          <w:color w:val="000000"/>
          <w:sz w:val="20"/>
          <w:szCs w:val="20"/>
          <w:lang w:eastAsia="en-GB"/>
        </w:rPr>
        <w:t>3 Earnings per share ('EPS')</w:t>
      </w:r>
    </w:p>
    <w:p w14:paraId="3893FC28" w14:textId="0090F5C5" w:rsidR="002C5B2A" w:rsidRPr="00886AA9" w:rsidRDefault="002C5B2A" w:rsidP="002C5B2A">
      <w:pPr>
        <w:spacing w:before="40" w:after="40" w:line="207" w:lineRule="atLeast"/>
        <w:rPr>
          <w:rFonts w:ascii="Arial" w:eastAsia="Times New Roman" w:hAnsi="Arial" w:cs="Arial"/>
          <w:color w:val="000000"/>
          <w:sz w:val="18"/>
          <w:szCs w:val="18"/>
          <w:lang w:eastAsia="en-GB"/>
        </w:rPr>
      </w:pPr>
      <w:r w:rsidRPr="00F52572">
        <w:rPr>
          <w:rFonts w:ascii="Arial" w:eastAsia="Times New Roman" w:hAnsi="Arial" w:cs="Arial"/>
          <w:color w:val="000000"/>
          <w:sz w:val="20"/>
          <w:szCs w:val="20"/>
          <w:lang w:eastAsia="en-GB"/>
        </w:rPr>
        <w:t xml:space="preserve">Basic earnings per ordinary share is based on the </w:t>
      </w:r>
      <w:r w:rsidR="00F52572" w:rsidRPr="00F52572">
        <w:rPr>
          <w:rFonts w:ascii="Arial" w:eastAsia="Times New Roman" w:hAnsi="Arial" w:cs="Arial"/>
          <w:color w:val="000000"/>
          <w:sz w:val="20"/>
          <w:szCs w:val="20"/>
          <w:lang w:eastAsia="en-GB"/>
        </w:rPr>
        <w:t>loss</w:t>
      </w:r>
      <w:r w:rsidRPr="00F52572">
        <w:rPr>
          <w:rFonts w:ascii="Arial" w:eastAsia="Times New Roman" w:hAnsi="Arial" w:cs="Arial"/>
          <w:color w:val="000000"/>
          <w:sz w:val="20"/>
          <w:szCs w:val="20"/>
          <w:lang w:eastAsia="en-GB"/>
        </w:rPr>
        <w:t xml:space="preserve"> on ordinary activities before taxation of £</w:t>
      </w:r>
      <w:r w:rsidR="00DE6DA3">
        <w:rPr>
          <w:rFonts w:ascii="Arial" w:eastAsia="Times New Roman" w:hAnsi="Arial" w:cs="Arial"/>
          <w:color w:val="000000"/>
          <w:sz w:val="20"/>
          <w:szCs w:val="20"/>
          <w:lang w:eastAsia="en-GB"/>
        </w:rPr>
        <w:t xml:space="preserve">345k </w:t>
      </w:r>
      <w:r w:rsidRPr="00F52572">
        <w:rPr>
          <w:rFonts w:ascii="Arial" w:eastAsia="Times New Roman" w:hAnsi="Arial" w:cs="Arial"/>
          <w:color w:val="000000"/>
          <w:sz w:val="20"/>
          <w:szCs w:val="20"/>
          <w:lang w:eastAsia="en-GB"/>
        </w:rPr>
        <w:t>and on 136,</w:t>
      </w:r>
      <w:r w:rsidR="007D2D71">
        <w:rPr>
          <w:rFonts w:ascii="Arial" w:eastAsia="Times New Roman" w:hAnsi="Arial" w:cs="Arial"/>
          <w:color w:val="000000"/>
          <w:sz w:val="20"/>
          <w:szCs w:val="20"/>
          <w:lang w:eastAsia="en-GB"/>
        </w:rPr>
        <w:t>8</w:t>
      </w:r>
      <w:r w:rsidRPr="00F52572">
        <w:rPr>
          <w:rFonts w:ascii="Arial" w:eastAsia="Times New Roman" w:hAnsi="Arial" w:cs="Arial"/>
          <w:color w:val="000000"/>
          <w:sz w:val="20"/>
          <w:szCs w:val="20"/>
          <w:lang w:eastAsia="en-GB"/>
        </w:rPr>
        <w:t>54,577 ordinary shares in issue throughout the period.</w:t>
      </w:r>
    </w:p>
    <w:p w14:paraId="203D4C52" w14:textId="77777777" w:rsidR="002C5B2A" w:rsidRPr="00886AA9" w:rsidRDefault="002C5B2A" w:rsidP="002C5B2A">
      <w:pPr>
        <w:spacing w:before="40" w:after="40" w:line="207" w:lineRule="atLeast"/>
        <w:rPr>
          <w:rFonts w:ascii="Arial" w:eastAsia="Times New Roman" w:hAnsi="Arial" w:cs="Arial"/>
          <w:color w:val="000000"/>
          <w:sz w:val="18"/>
          <w:szCs w:val="18"/>
          <w:lang w:eastAsia="en-GB"/>
        </w:rPr>
      </w:pPr>
      <w:r w:rsidRPr="00886AA9">
        <w:rPr>
          <w:rFonts w:ascii="Arial" w:eastAsia="Times New Roman" w:hAnsi="Arial" w:cs="Arial"/>
          <w:color w:val="000000"/>
          <w:sz w:val="20"/>
          <w:szCs w:val="20"/>
          <w:lang w:eastAsia="en-GB"/>
        </w:rPr>
        <w:t> </w:t>
      </w:r>
    </w:p>
    <w:p w14:paraId="6AA5ABB2" w14:textId="77777777" w:rsidR="002C5B2A" w:rsidRPr="002F44AF" w:rsidRDefault="002C5B2A" w:rsidP="002C5B2A">
      <w:pPr>
        <w:spacing w:after="0" w:line="240" w:lineRule="auto"/>
        <w:jc w:val="both"/>
        <w:rPr>
          <w:rFonts w:ascii="Times New Roman" w:eastAsia="Times New Roman" w:hAnsi="Times New Roman" w:cs="Times New Roman"/>
          <w:color w:val="000000"/>
          <w:sz w:val="20"/>
          <w:szCs w:val="20"/>
          <w:lang w:eastAsia="en-GB"/>
        </w:rPr>
      </w:pPr>
      <w:r w:rsidRPr="00886AA9">
        <w:rPr>
          <w:rFonts w:ascii="Arial" w:eastAsia="Times New Roman" w:hAnsi="Arial" w:cs="Arial"/>
          <w:color w:val="000000"/>
          <w:sz w:val="20"/>
          <w:szCs w:val="20"/>
          <w:lang w:eastAsia="en-GB"/>
        </w:rPr>
        <w:t>Diluted profit per share is calculated by adjusting the weighted average number of ordinary shares in issue on the assumption of conversion of dilutive potential ordinary shares, based on the share price at the end of the period.  The Company's dilutive potential ordinary shares are shares issued under the Company's Enterprise Management Incentive ('EMI') scheme and options issued under the Company's Unapproved scheme.</w:t>
      </w:r>
    </w:p>
    <w:p w14:paraId="70B8B78F" w14:textId="77777777" w:rsidR="002C5B2A" w:rsidRPr="002F44AF" w:rsidRDefault="002C5B2A" w:rsidP="002C5B2A">
      <w:pPr>
        <w:spacing w:before="40" w:after="40" w:line="207" w:lineRule="atLeast"/>
        <w:jc w:val="both"/>
        <w:rPr>
          <w:rFonts w:ascii="Arial" w:eastAsia="Times New Roman" w:hAnsi="Arial" w:cs="Arial"/>
          <w:b/>
          <w:bCs/>
          <w:color w:val="000000"/>
          <w:sz w:val="18"/>
          <w:szCs w:val="18"/>
          <w:lang w:eastAsia="en-GB"/>
        </w:rPr>
      </w:pPr>
      <w:r w:rsidRPr="002F44AF">
        <w:rPr>
          <w:rFonts w:ascii="Arial" w:eastAsia="Times New Roman" w:hAnsi="Arial" w:cs="Arial"/>
          <w:b/>
          <w:bCs/>
          <w:color w:val="000000"/>
          <w:sz w:val="20"/>
          <w:szCs w:val="20"/>
          <w:lang w:eastAsia="en-GB"/>
        </w:rPr>
        <w:t> </w:t>
      </w:r>
    </w:p>
    <w:p w14:paraId="25FE5DC8" w14:textId="2A6B7527" w:rsidR="002C5B2A" w:rsidRPr="002F44AF" w:rsidRDefault="007D2D71" w:rsidP="002C5B2A">
      <w:pPr>
        <w:spacing w:before="40" w:after="40" w:line="207" w:lineRule="atLeast"/>
        <w:rPr>
          <w:rFonts w:ascii="Arial" w:eastAsia="Times New Roman" w:hAnsi="Arial" w:cs="Arial"/>
          <w:b/>
          <w:bCs/>
          <w:color w:val="000000"/>
          <w:sz w:val="18"/>
          <w:szCs w:val="18"/>
          <w:lang w:eastAsia="en-GB"/>
        </w:rPr>
      </w:pPr>
      <w:r>
        <w:rPr>
          <w:rFonts w:ascii="Arial" w:eastAsia="Times New Roman" w:hAnsi="Arial" w:cs="Arial"/>
          <w:b/>
          <w:bCs/>
          <w:color w:val="000000"/>
          <w:sz w:val="20"/>
          <w:szCs w:val="20"/>
          <w:lang w:eastAsia="en-GB"/>
        </w:rPr>
        <w:t>4</w:t>
      </w:r>
      <w:r w:rsidR="002C5B2A" w:rsidRPr="002F44AF">
        <w:rPr>
          <w:rFonts w:ascii="Arial" w:eastAsia="Times New Roman" w:hAnsi="Arial" w:cs="Arial"/>
          <w:b/>
          <w:bCs/>
          <w:color w:val="000000"/>
          <w:sz w:val="20"/>
          <w:szCs w:val="20"/>
          <w:lang w:eastAsia="en-GB"/>
        </w:rPr>
        <w:t xml:space="preserve"> Additional copies</w:t>
      </w:r>
    </w:p>
    <w:p w14:paraId="2A607FD9" w14:textId="61EF4F77" w:rsidR="002C5B2A" w:rsidRPr="002F44AF" w:rsidRDefault="002C5B2A" w:rsidP="002C5B2A">
      <w:pPr>
        <w:spacing w:before="40" w:after="40" w:line="207" w:lineRule="atLeast"/>
        <w:rPr>
          <w:rFonts w:ascii="Arial" w:eastAsia="Times New Roman" w:hAnsi="Arial" w:cs="Arial"/>
          <w:color w:val="000000"/>
          <w:sz w:val="18"/>
          <w:szCs w:val="18"/>
          <w:lang w:eastAsia="en-GB"/>
        </w:rPr>
      </w:pPr>
      <w:r w:rsidRPr="002F44AF">
        <w:rPr>
          <w:rFonts w:ascii="Arial" w:eastAsia="Times New Roman" w:hAnsi="Arial" w:cs="Arial"/>
          <w:color w:val="000000"/>
          <w:sz w:val="20"/>
          <w:szCs w:val="20"/>
          <w:lang w:eastAsia="en-GB"/>
        </w:rPr>
        <w:t>Further copies of the 20</w:t>
      </w:r>
      <w:r w:rsidR="003A1383">
        <w:rPr>
          <w:rFonts w:ascii="Arial" w:eastAsia="Times New Roman" w:hAnsi="Arial" w:cs="Arial"/>
          <w:color w:val="000000"/>
          <w:sz w:val="20"/>
          <w:szCs w:val="20"/>
          <w:lang w:eastAsia="en-GB"/>
        </w:rPr>
        <w:t>2</w:t>
      </w:r>
      <w:r w:rsidR="007D2D71">
        <w:rPr>
          <w:rFonts w:ascii="Arial" w:eastAsia="Times New Roman" w:hAnsi="Arial" w:cs="Arial"/>
          <w:color w:val="000000"/>
          <w:sz w:val="20"/>
          <w:szCs w:val="20"/>
          <w:lang w:eastAsia="en-GB"/>
        </w:rPr>
        <w:t>2</w:t>
      </w:r>
      <w:r w:rsidRPr="002F44AF">
        <w:rPr>
          <w:rFonts w:ascii="Arial" w:eastAsia="Times New Roman" w:hAnsi="Arial" w:cs="Arial"/>
          <w:color w:val="000000"/>
          <w:sz w:val="20"/>
          <w:szCs w:val="20"/>
          <w:lang w:eastAsia="en-GB"/>
        </w:rPr>
        <w:t xml:space="preserve"> interim report are available on the Company's website, www.ish.co.uk, and from the Company's registered office, 16-18 Hayhill Industrial Estate, Sileby Road, Barrow-upon-Soar, Leicestershire LE12 8LD.</w:t>
      </w:r>
    </w:p>
    <w:p w14:paraId="53157887" w14:textId="77777777" w:rsidR="002C5B2A" w:rsidRPr="002F44AF" w:rsidRDefault="002C5B2A" w:rsidP="002C5B2A">
      <w:pPr>
        <w:spacing w:after="0" w:line="360" w:lineRule="atLeast"/>
        <w:rPr>
          <w:rFonts w:ascii="Arial" w:eastAsia="Times New Roman" w:hAnsi="Arial" w:cs="Arial"/>
          <w:color w:val="000000"/>
          <w:sz w:val="32"/>
          <w:szCs w:val="32"/>
          <w:lang w:eastAsia="en-GB"/>
        </w:rPr>
      </w:pPr>
      <w:r w:rsidRPr="002F44AF">
        <w:rPr>
          <w:rFonts w:ascii="Arial" w:eastAsia="Times New Roman" w:hAnsi="Arial" w:cs="Arial"/>
          <w:color w:val="000000"/>
          <w:sz w:val="20"/>
          <w:szCs w:val="20"/>
          <w:lang w:eastAsia="en-GB"/>
        </w:rPr>
        <w:t> </w:t>
      </w:r>
    </w:p>
    <w:p w14:paraId="79BDC4EE" w14:textId="77777777" w:rsidR="002C5B2A" w:rsidRPr="002F44AF" w:rsidRDefault="002C5B2A" w:rsidP="002C5B2A">
      <w:pPr>
        <w:spacing w:after="0" w:line="253" w:lineRule="atLeast"/>
        <w:jc w:val="both"/>
        <w:rPr>
          <w:rFonts w:ascii="Calibri" w:eastAsia="Times New Roman" w:hAnsi="Calibri" w:cs="Calibri"/>
          <w:color w:val="000000"/>
          <w:lang w:eastAsia="en-GB"/>
        </w:rPr>
      </w:pPr>
      <w:r w:rsidRPr="002F44AF">
        <w:rPr>
          <w:rFonts w:ascii="Arial" w:eastAsia="Times New Roman" w:hAnsi="Arial" w:cs="Arial"/>
          <w:color w:val="000000"/>
          <w:sz w:val="20"/>
          <w:szCs w:val="20"/>
          <w:lang w:eastAsia="en-GB"/>
        </w:rPr>
        <w:t> </w:t>
      </w:r>
    </w:p>
    <w:p w14:paraId="0038E244" w14:textId="77777777" w:rsidR="002C5B2A" w:rsidRPr="002F44AF" w:rsidRDefault="002C5B2A" w:rsidP="002C5B2A">
      <w:pPr>
        <w:spacing w:line="253" w:lineRule="atLeast"/>
        <w:rPr>
          <w:rFonts w:ascii="Calibri" w:eastAsia="Times New Roman" w:hAnsi="Calibri" w:cs="Calibri"/>
          <w:b/>
          <w:bCs/>
          <w:color w:val="000000"/>
          <w:lang w:eastAsia="en-GB"/>
        </w:rPr>
      </w:pPr>
      <w:r w:rsidRPr="002F44AF">
        <w:rPr>
          <w:rFonts w:ascii="Arial" w:eastAsia="Times New Roman" w:hAnsi="Arial" w:cs="Arial"/>
          <w:b/>
          <w:bCs/>
          <w:color w:val="000000"/>
          <w:sz w:val="20"/>
          <w:szCs w:val="20"/>
          <w:lang w:eastAsia="en-GB"/>
        </w:rPr>
        <w:t> </w:t>
      </w:r>
    </w:p>
    <w:p w14:paraId="50F1DE06" w14:textId="77777777" w:rsidR="009943B2" w:rsidRPr="00B60027" w:rsidRDefault="009943B2">
      <w:pPr>
        <w:rPr>
          <w:rFonts w:ascii="Arial" w:hAnsi="Arial" w:cs="Arial"/>
          <w:b/>
          <w:bCs/>
          <w:sz w:val="30"/>
          <w:szCs w:val="30"/>
        </w:rPr>
      </w:pPr>
    </w:p>
    <w:sectPr w:rsidR="009943B2" w:rsidRPr="00B60027" w:rsidSect="00EF2897">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2EB8" w14:textId="77777777" w:rsidR="004427C8" w:rsidRDefault="00806109">
      <w:pPr>
        <w:spacing w:after="0" w:line="240" w:lineRule="auto"/>
      </w:pPr>
      <w:r>
        <w:separator/>
      </w:r>
    </w:p>
  </w:endnote>
  <w:endnote w:type="continuationSeparator" w:id="0">
    <w:p w14:paraId="53829B1A" w14:textId="77777777" w:rsidR="004427C8" w:rsidRDefault="0080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AEC1" w14:textId="509DAB80" w:rsidR="00113D47" w:rsidRPr="00F13A26" w:rsidRDefault="00C12495" w:rsidP="00F13A26">
    <w:pPr>
      <w:pStyle w:val="Footer"/>
      <w:tabs>
        <w:tab w:val="clear" w:pos="4513"/>
        <w:tab w:val="clear" w:pos="9026"/>
        <w:tab w:val="left" w:pos="284"/>
      </w:tabs>
      <w:rPr>
        <w:rFonts w:ascii="Arial" w:hAnsi="Arial" w:cs="Arial"/>
        <w:sz w:val="14"/>
        <w:szCs w:val="14"/>
      </w:rPr>
    </w:pPr>
    <w:r w:rsidRPr="00F13A26">
      <w:rPr>
        <w:rFonts w:ascii="Arial" w:hAnsi="Arial" w:cs="Arial"/>
        <w:b/>
        <w:sz w:val="14"/>
        <w:szCs w:val="14"/>
      </w:rPr>
      <w:t>Image Scan Holdings plc</w:t>
    </w:r>
    <w:r>
      <w:rPr>
        <w:rFonts w:ascii="Arial" w:hAnsi="Arial" w:cs="Arial"/>
        <w:sz w:val="14"/>
        <w:szCs w:val="14"/>
      </w:rPr>
      <w:t xml:space="preserve"> interim report 20</w:t>
    </w:r>
    <w:r w:rsidR="008C7EF3">
      <w:rPr>
        <w:rFonts w:ascii="Arial" w:hAnsi="Arial" w:cs="Arial"/>
        <w:sz w:val="14"/>
        <w:szCs w:val="14"/>
      </w:rPr>
      <w:t>2</w:t>
    </w:r>
    <w:r w:rsidR="002C7E5C">
      <w:rPr>
        <w:rFonts w:ascii="Arial" w:hAnsi="Arial" w:cs="Arial"/>
        <w:sz w:val="14"/>
        <w:szCs w:val="14"/>
      </w:rPr>
      <w:t>1</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sidRPr="00F13A26">
      <w:rPr>
        <w:rFonts w:ascii="Arial" w:hAnsi="Arial" w:cs="Arial"/>
        <w:sz w:val="14"/>
        <w:szCs w:val="14"/>
      </w:rPr>
      <w:fldChar w:fldCharType="begin"/>
    </w:r>
    <w:r w:rsidRPr="00F13A26">
      <w:rPr>
        <w:rFonts w:ascii="Arial" w:hAnsi="Arial" w:cs="Arial"/>
        <w:sz w:val="14"/>
        <w:szCs w:val="14"/>
      </w:rPr>
      <w:instrText xml:space="preserve"> PAGE   \* MERGEFORMAT </w:instrText>
    </w:r>
    <w:r w:rsidRPr="00F13A26">
      <w:rPr>
        <w:rFonts w:ascii="Arial" w:hAnsi="Arial" w:cs="Arial"/>
        <w:sz w:val="14"/>
        <w:szCs w:val="14"/>
      </w:rPr>
      <w:fldChar w:fldCharType="separate"/>
    </w:r>
    <w:r w:rsidR="008F0CE5">
      <w:rPr>
        <w:rFonts w:ascii="Arial" w:hAnsi="Arial" w:cs="Arial"/>
        <w:noProof/>
        <w:sz w:val="14"/>
        <w:szCs w:val="14"/>
      </w:rPr>
      <w:t>8</w:t>
    </w:r>
    <w:r w:rsidRPr="00F13A26">
      <w:rPr>
        <w:rFonts w:ascii="Arial" w:hAnsi="Arial"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6F9D" w14:textId="77777777" w:rsidR="004427C8" w:rsidRDefault="00806109">
      <w:pPr>
        <w:spacing w:after="0" w:line="240" w:lineRule="auto"/>
      </w:pPr>
      <w:r>
        <w:separator/>
      </w:r>
    </w:p>
  </w:footnote>
  <w:footnote w:type="continuationSeparator" w:id="0">
    <w:p w14:paraId="7496F1B1" w14:textId="77777777" w:rsidR="004427C8" w:rsidRDefault="00806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36AE"/>
    <w:multiLevelType w:val="hybridMultilevel"/>
    <w:tmpl w:val="54780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8A07E9"/>
    <w:multiLevelType w:val="hybridMultilevel"/>
    <w:tmpl w:val="31E0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633260">
    <w:abstractNumId w:val="0"/>
  </w:num>
  <w:num w:numId="2" w16cid:durableId="154948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27"/>
    <w:rsid w:val="0000061B"/>
    <w:rsid w:val="00001256"/>
    <w:rsid w:val="000016EB"/>
    <w:rsid w:val="000032F8"/>
    <w:rsid w:val="00003822"/>
    <w:rsid w:val="000045B0"/>
    <w:rsid w:val="000050D4"/>
    <w:rsid w:val="00005325"/>
    <w:rsid w:val="00005EAF"/>
    <w:rsid w:val="00007F5E"/>
    <w:rsid w:val="00010758"/>
    <w:rsid w:val="00010C38"/>
    <w:rsid w:val="00010ED0"/>
    <w:rsid w:val="00011610"/>
    <w:rsid w:val="00015BA2"/>
    <w:rsid w:val="000171E2"/>
    <w:rsid w:val="00017E9F"/>
    <w:rsid w:val="0002012C"/>
    <w:rsid w:val="00022C18"/>
    <w:rsid w:val="00023E29"/>
    <w:rsid w:val="000250E8"/>
    <w:rsid w:val="00025C84"/>
    <w:rsid w:val="00030FA2"/>
    <w:rsid w:val="0003495F"/>
    <w:rsid w:val="000404BB"/>
    <w:rsid w:val="00040A12"/>
    <w:rsid w:val="000411FB"/>
    <w:rsid w:val="00041CFC"/>
    <w:rsid w:val="00042309"/>
    <w:rsid w:val="00042664"/>
    <w:rsid w:val="00043AA9"/>
    <w:rsid w:val="00043D5D"/>
    <w:rsid w:val="00044E26"/>
    <w:rsid w:val="00046B49"/>
    <w:rsid w:val="00046BE0"/>
    <w:rsid w:val="00047EA0"/>
    <w:rsid w:val="00054619"/>
    <w:rsid w:val="00055773"/>
    <w:rsid w:val="0005652C"/>
    <w:rsid w:val="00057557"/>
    <w:rsid w:val="00061160"/>
    <w:rsid w:val="00061C84"/>
    <w:rsid w:val="00062AF7"/>
    <w:rsid w:val="00062F9A"/>
    <w:rsid w:val="00066207"/>
    <w:rsid w:val="000674C8"/>
    <w:rsid w:val="000722FF"/>
    <w:rsid w:val="00072799"/>
    <w:rsid w:val="0007340A"/>
    <w:rsid w:val="00074E43"/>
    <w:rsid w:val="00075365"/>
    <w:rsid w:val="00075F03"/>
    <w:rsid w:val="00080267"/>
    <w:rsid w:val="0008073E"/>
    <w:rsid w:val="000851AF"/>
    <w:rsid w:val="00093427"/>
    <w:rsid w:val="00093EE1"/>
    <w:rsid w:val="00094E75"/>
    <w:rsid w:val="000956CB"/>
    <w:rsid w:val="000A095C"/>
    <w:rsid w:val="000A0DD6"/>
    <w:rsid w:val="000A181A"/>
    <w:rsid w:val="000A19A7"/>
    <w:rsid w:val="000A35A5"/>
    <w:rsid w:val="000A5095"/>
    <w:rsid w:val="000A5F3C"/>
    <w:rsid w:val="000A661F"/>
    <w:rsid w:val="000B3671"/>
    <w:rsid w:val="000B4785"/>
    <w:rsid w:val="000B5D94"/>
    <w:rsid w:val="000B642A"/>
    <w:rsid w:val="000B7ADF"/>
    <w:rsid w:val="000C144F"/>
    <w:rsid w:val="000C2764"/>
    <w:rsid w:val="000C33AF"/>
    <w:rsid w:val="000C6A49"/>
    <w:rsid w:val="000C78C6"/>
    <w:rsid w:val="000C7906"/>
    <w:rsid w:val="000D21A3"/>
    <w:rsid w:val="000D6181"/>
    <w:rsid w:val="000D7AD3"/>
    <w:rsid w:val="000D7B17"/>
    <w:rsid w:val="000E0638"/>
    <w:rsid w:val="000E21DD"/>
    <w:rsid w:val="000E33CA"/>
    <w:rsid w:val="000E420E"/>
    <w:rsid w:val="000E6F6A"/>
    <w:rsid w:val="000F09AF"/>
    <w:rsid w:val="000F0D21"/>
    <w:rsid w:val="000F0E65"/>
    <w:rsid w:val="000F141D"/>
    <w:rsid w:val="000F2AC9"/>
    <w:rsid w:val="000F2AE9"/>
    <w:rsid w:val="000F3697"/>
    <w:rsid w:val="000F5F03"/>
    <w:rsid w:val="000F6FBD"/>
    <w:rsid w:val="000F7BC1"/>
    <w:rsid w:val="00101943"/>
    <w:rsid w:val="00102161"/>
    <w:rsid w:val="00102615"/>
    <w:rsid w:val="00102FED"/>
    <w:rsid w:val="00104CC6"/>
    <w:rsid w:val="00111EE6"/>
    <w:rsid w:val="0011233F"/>
    <w:rsid w:val="0012081A"/>
    <w:rsid w:val="00122026"/>
    <w:rsid w:val="001224B8"/>
    <w:rsid w:val="00123119"/>
    <w:rsid w:val="00123466"/>
    <w:rsid w:val="001252C7"/>
    <w:rsid w:val="00125863"/>
    <w:rsid w:val="001262E3"/>
    <w:rsid w:val="0013086A"/>
    <w:rsid w:val="0013146A"/>
    <w:rsid w:val="001326E0"/>
    <w:rsid w:val="0013334A"/>
    <w:rsid w:val="001344B0"/>
    <w:rsid w:val="00137075"/>
    <w:rsid w:val="00137474"/>
    <w:rsid w:val="00137554"/>
    <w:rsid w:val="001437BC"/>
    <w:rsid w:val="00144FA8"/>
    <w:rsid w:val="001451DF"/>
    <w:rsid w:val="00145BF1"/>
    <w:rsid w:val="0014700E"/>
    <w:rsid w:val="00152B94"/>
    <w:rsid w:val="001549A5"/>
    <w:rsid w:val="00155D5A"/>
    <w:rsid w:val="001579A7"/>
    <w:rsid w:val="00157F2B"/>
    <w:rsid w:val="00163A72"/>
    <w:rsid w:val="00164C3D"/>
    <w:rsid w:val="00165EA1"/>
    <w:rsid w:val="00171A3F"/>
    <w:rsid w:val="00172E23"/>
    <w:rsid w:val="00174C3C"/>
    <w:rsid w:val="001752D7"/>
    <w:rsid w:val="00176814"/>
    <w:rsid w:val="001770D1"/>
    <w:rsid w:val="001772D8"/>
    <w:rsid w:val="0017785D"/>
    <w:rsid w:val="001778C0"/>
    <w:rsid w:val="00177915"/>
    <w:rsid w:val="00177E0C"/>
    <w:rsid w:val="00180B7F"/>
    <w:rsid w:val="00182D98"/>
    <w:rsid w:val="0018311F"/>
    <w:rsid w:val="0018534E"/>
    <w:rsid w:val="00187B16"/>
    <w:rsid w:val="00190B1B"/>
    <w:rsid w:val="00192A97"/>
    <w:rsid w:val="00195D29"/>
    <w:rsid w:val="001A2C37"/>
    <w:rsid w:val="001A34C2"/>
    <w:rsid w:val="001A4E44"/>
    <w:rsid w:val="001A4F9C"/>
    <w:rsid w:val="001A6827"/>
    <w:rsid w:val="001A6B86"/>
    <w:rsid w:val="001A6CDF"/>
    <w:rsid w:val="001B1382"/>
    <w:rsid w:val="001B1E0A"/>
    <w:rsid w:val="001B2836"/>
    <w:rsid w:val="001B3771"/>
    <w:rsid w:val="001B4425"/>
    <w:rsid w:val="001B5378"/>
    <w:rsid w:val="001B7E2D"/>
    <w:rsid w:val="001C1368"/>
    <w:rsid w:val="001C2054"/>
    <w:rsid w:val="001C4335"/>
    <w:rsid w:val="001C47BE"/>
    <w:rsid w:val="001C6C9A"/>
    <w:rsid w:val="001D0AD4"/>
    <w:rsid w:val="001D2D5A"/>
    <w:rsid w:val="001D377D"/>
    <w:rsid w:val="001D61B2"/>
    <w:rsid w:val="001D74D2"/>
    <w:rsid w:val="001E2E60"/>
    <w:rsid w:val="001E47A7"/>
    <w:rsid w:val="001F2E59"/>
    <w:rsid w:val="001F3E36"/>
    <w:rsid w:val="001F42E8"/>
    <w:rsid w:val="001F5629"/>
    <w:rsid w:val="001F5DDE"/>
    <w:rsid w:val="001F5FC0"/>
    <w:rsid w:val="001F6746"/>
    <w:rsid w:val="00200F59"/>
    <w:rsid w:val="00205ED2"/>
    <w:rsid w:val="002061C9"/>
    <w:rsid w:val="00210FB1"/>
    <w:rsid w:val="00211113"/>
    <w:rsid w:val="00211A91"/>
    <w:rsid w:val="002131EA"/>
    <w:rsid w:val="002155B0"/>
    <w:rsid w:val="00224385"/>
    <w:rsid w:val="00225930"/>
    <w:rsid w:val="00225C6D"/>
    <w:rsid w:val="00227196"/>
    <w:rsid w:val="00233468"/>
    <w:rsid w:val="0023391C"/>
    <w:rsid w:val="00236A7A"/>
    <w:rsid w:val="00243848"/>
    <w:rsid w:val="00244560"/>
    <w:rsid w:val="00246FDD"/>
    <w:rsid w:val="002519AE"/>
    <w:rsid w:val="00251C70"/>
    <w:rsid w:val="0025223F"/>
    <w:rsid w:val="002523D9"/>
    <w:rsid w:val="00252A6C"/>
    <w:rsid w:val="002564C6"/>
    <w:rsid w:val="00262F66"/>
    <w:rsid w:val="00263F25"/>
    <w:rsid w:val="00264B81"/>
    <w:rsid w:val="00265386"/>
    <w:rsid w:val="0026550A"/>
    <w:rsid w:val="002714FE"/>
    <w:rsid w:val="00271B69"/>
    <w:rsid w:val="00273091"/>
    <w:rsid w:val="002766ED"/>
    <w:rsid w:val="002767A7"/>
    <w:rsid w:val="002801D1"/>
    <w:rsid w:val="00281DC3"/>
    <w:rsid w:val="00284A1E"/>
    <w:rsid w:val="0028674E"/>
    <w:rsid w:val="00287CF0"/>
    <w:rsid w:val="0029153A"/>
    <w:rsid w:val="00291684"/>
    <w:rsid w:val="00293CB7"/>
    <w:rsid w:val="00294076"/>
    <w:rsid w:val="002968DF"/>
    <w:rsid w:val="00296D79"/>
    <w:rsid w:val="00297D0E"/>
    <w:rsid w:val="002A29A8"/>
    <w:rsid w:val="002A30A2"/>
    <w:rsid w:val="002A4F68"/>
    <w:rsid w:val="002A4FBA"/>
    <w:rsid w:val="002A5C3F"/>
    <w:rsid w:val="002A79DF"/>
    <w:rsid w:val="002A7BD6"/>
    <w:rsid w:val="002B216E"/>
    <w:rsid w:val="002B311C"/>
    <w:rsid w:val="002B427D"/>
    <w:rsid w:val="002B4ADD"/>
    <w:rsid w:val="002B5231"/>
    <w:rsid w:val="002B5EF0"/>
    <w:rsid w:val="002B6304"/>
    <w:rsid w:val="002B6F75"/>
    <w:rsid w:val="002C0259"/>
    <w:rsid w:val="002C19E7"/>
    <w:rsid w:val="002C3BE5"/>
    <w:rsid w:val="002C4CA2"/>
    <w:rsid w:val="002C5B2A"/>
    <w:rsid w:val="002C6002"/>
    <w:rsid w:val="002C7E5C"/>
    <w:rsid w:val="002D1D0D"/>
    <w:rsid w:val="002D350E"/>
    <w:rsid w:val="002D4836"/>
    <w:rsid w:val="002D55F0"/>
    <w:rsid w:val="002E1508"/>
    <w:rsid w:val="002E4839"/>
    <w:rsid w:val="002E6882"/>
    <w:rsid w:val="002E788B"/>
    <w:rsid w:val="002F0A25"/>
    <w:rsid w:val="002F0D35"/>
    <w:rsid w:val="002F21EC"/>
    <w:rsid w:val="002F335D"/>
    <w:rsid w:val="002F6BE0"/>
    <w:rsid w:val="003014DC"/>
    <w:rsid w:val="00304140"/>
    <w:rsid w:val="00304AFE"/>
    <w:rsid w:val="00306536"/>
    <w:rsid w:val="00306F80"/>
    <w:rsid w:val="00306F98"/>
    <w:rsid w:val="00311726"/>
    <w:rsid w:val="003121F8"/>
    <w:rsid w:val="00313D02"/>
    <w:rsid w:val="00314188"/>
    <w:rsid w:val="0031641F"/>
    <w:rsid w:val="003172C2"/>
    <w:rsid w:val="00322911"/>
    <w:rsid w:val="003235F4"/>
    <w:rsid w:val="00324EB6"/>
    <w:rsid w:val="003266FF"/>
    <w:rsid w:val="00327461"/>
    <w:rsid w:val="00333249"/>
    <w:rsid w:val="00334A42"/>
    <w:rsid w:val="0033502C"/>
    <w:rsid w:val="00335892"/>
    <w:rsid w:val="00335D5A"/>
    <w:rsid w:val="00342319"/>
    <w:rsid w:val="00344492"/>
    <w:rsid w:val="00344C9C"/>
    <w:rsid w:val="0034530E"/>
    <w:rsid w:val="003458F3"/>
    <w:rsid w:val="003472AF"/>
    <w:rsid w:val="003501E6"/>
    <w:rsid w:val="0035255F"/>
    <w:rsid w:val="00355ED7"/>
    <w:rsid w:val="00357053"/>
    <w:rsid w:val="0035733F"/>
    <w:rsid w:val="00357750"/>
    <w:rsid w:val="00362CA2"/>
    <w:rsid w:val="00367ECF"/>
    <w:rsid w:val="00370D12"/>
    <w:rsid w:val="00370F37"/>
    <w:rsid w:val="003735AC"/>
    <w:rsid w:val="00373B83"/>
    <w:rsid w:val="003758F8"/>
    <w:rsid w:val="00375CE8"/>
    <w:rsid w:val="00377326"/>
    <w:rsid w:val="003775D8"/>
    <w:rsid w:val="00384BC3"/>
    <w:rsid w:val="00384ED3"/>
    <w:rsid w:val="003855EA"/>
    <w:rsid w:val="00387296"/>
    <w:rsid w:val="00387F48"/>
    <w:rsid w:val="003903BF"/>
    <w:rsid w:val="00390A4E"/>
    <w:rsid w:val="00390B8C"/>
    <w:rsid w:val="0039132C"/>
    <w:rsid w:val="00392EDC"/>
    <w:rsid w:val="0039354E"/>
    <w:rsid w:val="00394F76"/>
    <w:rsid w:val="003A1383"/>
    <w:rsid w:val="003A1F4D"/>
    <w:rsid w:val="003A285C"/>
    <w:rsid w:val="003A28E9"/>
    <w:rsid w:val="003A429F"/>
    <w:rsid w:val="003A731B"/>
    <w:rsid w:val="003B106B"/>
    <w:rsid w:val="003B1810"/>
    <w:rsid w:val="003B336A"/>
    <w:rsid w:val="003B5041"/>
    <w:rsid w:val="003B50C5"/>
    <w:rsid w:val="003B67B4"/>
    <w:rsid w:val="003B6CEB"/>
    <w:rsid w:val="003B74F5"/>
    <w:rsid w:val="003C2A64"/>
    <w:rsid w:val="003C3148"/>
    <w:rsid w:val="003C3875"/>
    <w:rsid w:val="003C62E0"/>
    <w:rsid w:val="003C6BEB"/>
    <w:rsid w:val="003C796A"/>
    <w:rsid w:val="003D0019"/>
    <w:rsid w:val="003D22FC"/>
    <w:rsid w:val="003D24AA"/>
    <w:rsid w:val="003D38E1"/>
    <w:rsid w:val="003D398E"/>
    <w:rsid w:val="003E0B5A"/>
    <w:rsid w:val="003E1AC4"/>
    <w:rsid w:val="003E554C"/>
    <w:rsid w:val="003E6432"/>
    <w:rsid w:val="003E6707"/>
    <w:rsid w:val="003E7D49"/>
    <w:rsid w:val="003F2C47"/>
    <w:rsid w:val="003F2E54"/>
    <w:rsid w:val="003F52A7"/>
    <w:rsid w:val="003F774D"/>
    <w:rsid w:val="003F77CE"/>
    <w:rsid w:val="003F7A20"/>
    <w:rsid w:val="00400CA8"/>
    <w:rsid w:val="00400D13"/>
    <w:rsid w:val="004026D3"/>
    <w:rsid w:val="00402EDE"/>
    <w:rsid w:val="00403F4D"/>
    <w:rsid w:val="00404FAB"/>
    <w:rsid w:val="004050A7"/>
    <w:rsid w:val="004051F6"/>
    <w:rsid w:val="00406172"/>
    <w:rsid w:val="00406FCB"/>
    <w:rsid w:val="0041221D"/>
    <w:rsid w:val="00412A5D"/>
    <w:rsid w:val="00416325"/>
    <w:rsid w:val="00416590"/>
    <w:rsid w:val="004206AB"/>
    <w:rsid w:val="004231ED"/>
    <w:rsid w:val="00424739"/>
    <w:rsid w:val="004248B4"/>
    <w:rsid w:val="004315E2"/>
    <w:rsid w:val="00433E7C"/>
    <w:rsid w:val="00434A1A"/>
    <w:rsid w:val="00434D2A"/>
    <w:rsid w:val="00435C20"/>
    <w:rsid w:val="004416EE"/>
    <w:rsid w:val="004427C8"/>
    <w:rsid w:val="00442AE8"/>
    <w:rsid w:val="00443762"/>
    <w:rsid w:val="00443F49"/>
    <w:rsid w:val="0044488E"/>
    <w:rsid w:val="00444F8D"/>
    <w:rsid w:val="00446D64"/>
    <w:rsid w:val="00447FDD"/>
    <w:rsid w:val="00450EFE"/>
    <w:rsid w:val="00451443"/>
    <w:rsid w:val="00451AC4"/>
    <w:rsid w:val="00452A7C"/>
    <w:rsid w:val="00452E13"/>
    <w:rsid w:val="004549E2"/>
    <w:rsid w:val="004566FA"/>
    <w:rsid w:val="00456A39"/>
    <w:rsid w:val="00460960"/>
    <w:rsid w:val="00461044"/>
    <w:rsid w:val="00462B66"/>
    <w:rsid w:val="004631ED"/>
    <w:rsid w:val="00463E1F"/>
    <w:rsid w:val="00464C4D"/>
    <w:rsid w:val="00465059"/>
    <w:rsid w:val="00465A2C"/>
    <w:rsid w:val="004747A0"/>
    <w:rsid w:val="004747B3"/>
    <w:rsid w:val="00474C76"/>
    <w:rsid w:val="00475701"/>
    <w:rsid w:val="00476232"/>
    <w:rsid w:val="00476E08"/>
    <w:rsid w:val="004804F0"/>
    <w:rsid w:val="00480D58"/>
    <w:rsid w:val="004832A7"/>
    <w:rsid w:val="0048387B"/>
    <w:rsid w:val="004838E4"/>
    <w:rsid w:val="004856AD"/>
    <w:rsid w:val="00485B1F"/>
    <w:rsid w:val="004861C2"/>
    <w:rsid w:val="00486410"/>
    <w:rsid w:val="0048652C"/>
    <w:rsid w:val="004871FD"/>
    <w:rsid w:val="004911C3"/>
    <w:rsid w:val="004920C6"/>
    <w:rsid w:val="00496AB1"/>
    <w:rsid w:val="00497438"/>
    <w:rsid w:val="004A0903"/>
    <w:rsid w:val="004A37F7"/>
    <w:rsid w:val="004A3D7E"/>
    <w:rsid w:val="004B203A"/>
    <w:rsid w:val="004B3C74"/>
    <w:rsid w:val="004B4E84"/>
    <w:rsid w:val="004B575E"/>
    <w:rsid w:val="004B7A44"/>
    <w:rsid w:val="004C069A"/>
    <w:rsid w:val="004C1147"/>
    <w:rsid w:val="004C291F"/>
    <w:rsid w:val="004C58FE"/>
    <w:rsid w:val="004C62F5"/>
    <w:rsid w:val="004C6B32"/>
    <w:rsid w:val="004C6DCF"/>
    <w:rsid w:val="004C79FD"/>
    <w:rsid w:val="004D1120"/>
    <w:rsid w:val="004D204B"/>
    <w:rsid w:val="004D455D"/>
    <w:rsid w:val="004D5360"/>
    <w:rsid w:val="004D5C2A"/>
    <w:rsid w:val="004D69A0"/>
    <w:rsid w:val="004E0997"/>
    <w:rsid w:val="004E0C9B"/>
    <w:rsid w:val="004E21F3"/>
    <w:rsid w:val="004E54CB"/>
    <w:rsid w:val="004E58BE"/>
    <w:rsid w:val="004E6AA5"/>
    <w:rsid w:val="004E6B13"/>
    <w:rsid w:val="004E707F"/>
    <w:rsid w:val="004F0E70"/>
    <w:rsid w:val="004F1478"/>
    <w:rsid w:val="004F35B2"/>
    <w:rsid w:val="004F763D"/>
    <w:rsid w:val="004F7FD3"/>
    <w:rsid w:val="005021F2"/>
    <w:rsid w:val="0050259B"/>
    <w:rsid w:val="00503D29"/>
    <w:rsid w:val="00504739"/>
    <w:rsid w:val="00505B41"/>
    <w:rsid w:val="005113A5"/>
    <w:rsid w:val="005113B7"/>
    <w:rsid w:val="005124DE"/>
    <w:rsid w:val="00513D22"/>
    <w:rsid w:val="00513ED7"/>
    <w:rsid w:val="00520952"/>
    <w:rsid w:val="0052294B"/>
    <w:rsid w:val="00524BA1"/>
    <w:rsid w:val="00525512"/>
    <w:rsid w:val="00525E8A"/>
    <w:rsid w:val="00526600"/>
    <w:rsid w:val="005273FB"/>
    <w:rsid w:val="00531D91"/>
    <w:rsid w:val="0053244E"/>
    <w:rsid w:val="00532D9B"/>
    <w:rsid w:val="00534CA1"/>
    <w:rsid w:val="00535559"/>
    <w:rsid w:val="00535806"/>
    <w:rsid w:val="00540364"/>
    <w:rsid w:val="00541592"/>
    <w:rsid w:val="00542A61"/>
    <w:rsid w:val="00543F92"/>
    <w:rsid w:val="00544BE7"/>
    <w:rsid w:val="00545CA2"/>
    <w:rsid w:val="00547675"/>
    <w:rsid w:val="005478D6"/>
    <w:rsid w:val="00551A3F"/>
    <w:rsid w:val="00552793"/>
    <w:rsid w:val="005532C5"/>
    <w:rsid w:val="00554BEC"/>
    <w:rsid w:val="00555131"/>
    <w:rsid w:val="0055528A"/>
    <w:rsid w:val="00555AC2"/>
    <w:rsid w:val="0055666F"/>
    <w:rsid w:val="005572D2"/>
    <w:rsid w:val="00561BFF"/>
    <w:rsid w:val="0056206E"/>
    <w:rsid w:val="00562F45"/>
    <w:rsid w:val="00564D6A"/>
    <w:rsid w:val="005657D4"/>
    <w:rsid w:val="00565987"/>
    <w:rsid w:val="00570241"/>
    <w:rsid w:val="005704D6"/>
    <w:rsid w:val="0057054A"/>
    <w:rsid w:val="00570B01"/>
    <w:rsid w:val="00572B36"/>
    <w:rsid w:val="00572D7D"/>
    <w:rsid w:val="005732DB"/>
    <w:rsid w:val="00575D40"/>
    <w:rsid w:val="0057624D"/>
    <w:rsid w:val="0057645C"/>
    <w:rsid w:val="00582B26"/>
    <w:rsid w:val="005850BA"/>
    <w:rsid w:val="00587FD9"/>
    <w:rsid w:val="00590ACC"/>
    <w:rsid w:val="005939ED"/>
    <w:rsid w:val="00593A61"/>
    <w:rsid w:val="00596786"/>
    <w:rsid w:val="005A1491"/>
    <w:rsid w:val="005A516E"/>
    <w:rsid w:val="005A7ADB"/>
    <w:rsid w:val="005B05C9"/>
    <w:rsid w:val="005B078C"/>
    <w:rsid w:val="005B0996"/>
    <w:rsid w:val="005B09EA"/>
    <w:rsid w:val="005B5164"/>
    <w:rsid w:val="005B651B"/>
    <w:rsid w:val="005B69A6"/>
    <w:rsid w:val="005C0137"/>
    <w:rsid w:val="005C0409"/>
    <w:rsid w:val="005C0ED3"/>
    <w:rsid w:val="005C2DA0"/>
    <w:rsid w:val="005C3B70"/>
    <w:rsid w:val="005C504B"/>
    <w:rsid w:val="005C58F0"/>
    <w:rsid w:val="005D28CE"/>
    <w:rsid w:val="005D2B6F"/>
    <w:rsid w:val="005D3070"/>
    <w:rsid w:val="005D39FD"/>
    <w:rsid w:val="005D3DC8"/>
    <w:rsid w:val="005D6F7C"/>
    <w:rsid w:val="005D7051"/>
    <w:rsid w:val="005D7912"/>
    <w:rsid w:val="005E1B7A"/>
    <w:rsid w:val="005E496E"/>
    <w:rsid w:val="005E4AFE"/>
    <w:rsid w:val="005E713E"/>
    <w:rsid w:val="005E7C48"/>
    <w:rsid w:val="005F3F86"/>
    <w:rsid w:val="005F43BE"/>
    <w:rsid w:val="005F4F15"/>
    <w:rsid w:val="005F4FD3"/>
    <w:rsid w:val="005F5500"/>
    <w:rsid w:val="005F5FF1"/>
    <w:rsid w:val="006005DE"/>
    <w:rsid w:val="006017C5"/>
    <w:rsid w:val="00604580"/>
    <w:rsid w:val="006047C9"/>
    <w:rsid w:val="00604AAA"/>
    <w:rsid w:val="00605B7D"/>
    <w:rsid w:val="00607676"/>
    <w:rsid w:val="00611BD7"/>
    <w:rsid w:val="00611DCD"/>
    <w:rsid w:val="00612DB6"/>
    <w:rsid w:val="006131E1"/>
    <w:rsid w:val="00615772"/>
    <w:rsid w:val="0061586B"/>
    <w:rsid w:val="00617D8C"/>
    <w:rsid w:val="00620C2B"/>
    <w:rsid w:val="00621F8D"/>
    <w:rsid w:val="0062249C"/>
    <w:rsid w:val="00623D72"/>
    <w:rsid w:val="00625252"/>
    <w:rsid w:val="00626237"/>
    <w:rsid w:val="0063434D"/>
    <w:rsid w:val="00636384"/>
    <w:rsid w:val="00637FC4"/>
    <w:rsid w:val="006404FC"/>
    <w:rsid w:val="00643499"/>
    <w:rsid w:val="006445D4"/>
    <w:rsid w:val="0064539D"/>
    <w:rsid w:val="00645886"/>
    <w:rsid w:val="00645B93"/>
    <w:rsid w:val="00647B2A"/>
    <w:rsid w:val="0065015D"/>
    <w:rsid w:val="00650CD3"/>
    <w:rsid w:val="00651620"/>
    <w:rsid w:val="00657DE0"/>
    <w:rsid w:val="0066167A"/>
    <w:rsid w:val="0066219E"/>
    <w:rsid w:val="006628FD"/>
    <w:rsid w:val="0066457E"/>
    <w:rsid w:val="00665A73"/>
    <w:rsid w:val="00666842"/>
    <w:rsid w:val="00667101"/>
    <w:rsid w:val="00671D41"/>
    <w:rsid w:val="0067430A"/>
    <w:rsid w:val="006751AA"/>
    <w:rsid w:val="00676B9E"/>
    <w:rsid w:val="00676D7E"/>
    <w:rsid w:val="0067746D"/>
    <w:rsid w:val="00681758"/>
    <w:rsid w:val="0068363B"/>
    <w:rsid w:val="00686A92"/>
    <w:rsid w:val="00686C2B"/>
    <w:rsid w:val="00687C46"/>
    <w:rsid w:val="006924EC"/>
    <w:rsid w:val="006951D5"/>
    <w:rsid w:val="00697DCD"/>
    <w:rsid w:val="006A15D3"/>
    <w:rsid w:val="006A251F"/>
    <w:rsid w:val="006A611D"/>
    <w:rsid w:val="006A68D5"/>
    <w:rsid w:val="006A7421"/>
    <w:rsid w:val="006B190B"/>
    <w:rsid w:val="006B3A9E"/>
    <w:rsid w:val="006B6173"/>
    <w:rsid w:val="006C05B4"/>
    <w:rsid w:val="006C401C"/>
    <w:rsid w:val="006C4890"/>
    <w:rsid w:val="006D08A9"/>
    <w:rsid w:val="006D0BFC"/>
    <w:rsid w:val="006D205F"/>
    <w:rsid w:val="006D41F5"/>
    <w:rsid w:val="006D49FA"/>
    <w:rsid w:val="006D4D87"/>
    <w:rsid w:val="006D52D4"/>
    <w:rsid w:val="006D6E43"/>
    <w:rsid w:val="006D7917"/>
    <w:rsid w:val="006E44D2"/>
    <w:rsid w:val="006E4B47"/>
    <w:rsid w:val="006E4E2E"/>
    <w:rsid w:val="006E64A6"/>
    <w:rsid w:val="006E6D5F"/>
    <w:rsid w:val="006F0EC1"/>
    <w:rsid w:val="006F2889"/>
    <w:rsid w:val="006F3178"/>
    <w:rsid w:val="006F3C4E"/>
    <w:rsid w:val="006F5CCB"/>
    <w:rsid w:val="006F792B"/>
    <w:rsid w:val="00700C63"/>
    <w:rsid w:val="00706792"/>
    <w:rsid w:val="00712B61"/>
    <w:rsid w:val="00714348"/>
    <w:rsid w:val="007147F5"/>
    <w:rsid w:val="00717856"/>
    <w:rsid w:val="00717FEC"/>
    <w:rsid w:val="00720D7D"/>
    <w:rsid w:val="007214EC"/>
    <w:rsid w:val="00722D34"/>
    <w:rsid w:val="0072415B"/>
    <w:rsid w:val="007246BC"/>
    <w:rsid w:val="007256AB"/>
    <w:rsid w:val="007262D6"/>
    <w:rsid w:val="00726840"/>
    <w:rsid w:val="00730B45"/>
    <w:rsid w:val="007314D9"/>
    <w:rsid w:val="007344EF"/>
    <w:rsid w:val="00734799"/>
    <w:rsid w:val="007351E6"/>
    <w:rsid w:val="007361F8"/>
    <w:rsid w:val="00736896"/>
    <w:rsid w:val="00740EAE"/>
    <w:rsid w:val="00741A8C"/>
    <w:rsid w:val="00745F0F"/>
    <w:rsid w:val="0074783B"/>
    <w:rsid w:val="007529EE"/>
    <w:rsid w:val="00753073"/>
    <w:rsid w:val="007534E2"/>
    <w:rsid w:val="007604CB"/>
    <w:rsid w:val="00761E93"/>
    <w:rsid w:val="00763532"/>
    <w:rsid w:val="00763977"/>
    <w:rsid w:val="00764D09"/>
    <w:rsid w:val="00765018"/>
    <w:rsid w:val="00765A6C"/>
    <w:rsid w:val="00771AB6"/>
    <w:rsid w:val="0077384E"/>
    <w:rsid w:val="00775196"/>
    <w:rsid w:val="007753EA"/>
    <w:rsid w:val="00775500"/>
    <w:rsid w:val="00776026"/>
    <w:rsid w:val="00781026"/>
    <w:rsid w:val="00783095"/>
    <w:rsid w:val="007832CF"/>
    <w:rsid w:val="0078544E"/>
    <w:rsid w:val="007876A5"/>
    <w:rsid w:val="00787A21"/>
    <w:rsid w:val="007901B6"/>
    <w:rsid w:val="00791036"/>
    <w:rsid w:val="007912F1"/>
    <w:rsid w:val="00791B9A"/>
    <w:rsid w:val="00795F33"/>
    <w:rsid w:val="00795FB6"/>
    <w:rsid w:val="007961CC"/>
    <w:rsid w:val="00796F9A"/>
    <w:rsid w:val="007A070C"/>
    <w:rsid w:val="007A1CB3"/>
    <w:rsid w:val="007A3330"/>
    <w:rsid w:val="007A3BCA"/>
    <w:rsid w:val="007A3D47"/>
    <w:rsid w:val="007A41B6"/>
    <w:rsid w:val="007A74C4"/>
    <w:rsid w:val="007B1DE9"/>
    <w:rsid w:val="007B3430"/>
    <w:rsid w:val="007B3EC2"/>
    <w:rsid w:val="007B41CA"/>
    <w:rsid w:val="007B5B81"/>
    <w:rsid w:val="007B60EB"/>
    <w:rsid w:val="007C1B45"/>
    <w:rsid w:val="007C1BA9"/>
    <w:rsid w:val="007C2E8F"/>
    <w:rsid w:val="007C3983"/>
    <w:rsid w:val="007C4B03"/>
    <w:rsid w:val="007C7923"/>
    <w:rsid w:val="007D17D2"/>
    <w:rsid w:val="007D19DC"/>
    <w:rsid w:val="007D2991"/>
    <w:rsid w:val="007D2D71"/>
    <w:rsid w:val="007D312C"/>
    <w:rsid w:val="007D3841"/>
    <w:rsid w:val="007D38F5"/>
    <w:rsid w:val="007E0730"/>
    <w:rsid w:val="007E1332"/>
    <w:rsid w:val="007E45AD"/>
    <w:rsid w:val="007E48EE"/>
    <w:rsid w:val="007E6042"/>
    <w:rsid w:val="007E69F4"/>
    <w:rsid w:val="007E7258"/>
    <w:rsid w:val="007E7A59"/>
    <w:rsid w:val="007F04C9"/>
    <w:rsid w:val="007F1A3F"/>
    <w:rsid w:val="007F3E73"/>
    <w:rsid w:val="00800EA8"/>
    <w:rsid w:val="00805732"/>
    <w:rsid w:val="00806109"/>
    <w:rsid w:val="0080735E"/>
    <w:rsid w:val="008100F8"/>
    <w:rsid w:val="00811ABF"/>
    <w:rsid w:val="008121EC"/>
    <w:rsid w:val="00813A11"/>
    <w:rsid w:val="008152A8"/>
    <w:rsid w:val="0081613A"/>
    <w:rsid w:val="00822690"/>
    <w:rsid w:val="0082387A"/>
    <w:rsid w:val="00824324"/>
    <w:rsid w:val="00825729"/>
    <w:rsid w:val="00825ECA"/>
    <w:rsid w:val="008275F1"/>
    <w:rsid w:val="0083113C"/>
    <w:rsid w:val="00831966"/>
    <w:rsid w:val="00831C5B"/>
    <w:rsid w:val="008322D6"/>
    <w:rsid w:val="0083270C"/>
    <w:rsid w:val="00832B05"/>
    <w:rsid w:val="00832B6F"/>
    <w:rsid w:val="0083336E"/>
    <w:rsid w:val="00837498"/>
    <w:rsid w:val="008374D6"/>
    <w:rsid w:val="0084095E"/>
    <w:rsid w:val="00841408"/>
    <w:rsid w:val="00844CBF"/>
    <w:rsid w:val="00845AD3"/>
    <w:rsid w:val="00846D67"/>
    <w:rsid w:val="00846FC6"/>
    <w:rsid w:val="00847D2B"/>
    <w:rsid w:val="008501F5"/>
    <w:rsid w:val="00851D83"/>
    <w:rsid w:val="00852934"/>
    <w:rsid w:val="008546DF"/>
    <w:rsid w:val="0085481D"/>
    <w:rsid w:val="00854BCB"/>
    <w:rsid w:val="0085561B"/>
    <w:rsid w:val="0085729C"/>
    <w:rsid w:val="008603EB"/>
    <w:rsid w:val="00860BA8"/>
    <w:rsid w:val="00863B51"/>
    <w:rsid w:val="008672DE"/>
    <w:rsid w:val="0087045B"/>
    <w:rsid w:val="008705C8"/>
    <w:rsid w:val="008711AA"/>
    <w:rsid w:val="00872EBA"/>
    <w:rsid w:val="008736CB"/>
    <w:rsid w:val="0087501F"/>
    <w:rsid w:val="008762E8"/>
    <w:rsid w:val="00877AC4"/>
    <w:rsid w:val="00881ED4"/>
    <w:rsid w:val="008823BA"/>
    <w:rsid w:val="00884B1A"/>
    <w:rsid w:val="00886AA9"/>
    <w:rsid w:val="0088744C"/>
    <w:rsid w:val="00891876"/>
    <w:rsid w:val="00891FB0"/>
    <w:rsid w:val="00896405"/>
    <w:rsid w:val="00896EAA"/>
    <w:rsid w:val="00897493"/>
    <w:rsid w:val="008978CC"/>
    <w:rsid w:val="008A4878"/>
    <w:rsid w:val="008A5858"/>
    <w:rsid w:val="008A5A9C"/>
    <w:rsid w:val="008A5B97"/>
    <w:rsid w:val="008A788C"/>
    <w:rsid w:val="008B1A6C"/>
    <w:rsid w:val="008B22FB"/>
    <w:rsid w:val="008B3888"/>
    <w:rsid w:val="008B3C66"/>
    <w:rsid w:val="008B59F3"/>
    <w:rsid w:val="008B76F5"/>
    <w:rsid w:val="008B797B"/>
    <w:rsid w:val="008C34BB"/>
    <w:rsid w:val="008C39D0"/>
    <w:rsid w:val="008C4B74"/>
    <w:rsid w:val="008C5106"/>
    <w:rsid w:val="008C51A8"/>
    <w:rsid w:val="008C531E"/>
    <w:rsid w:val="008C7EF3"/>
    <w:rsid w:val="008D0508"/>
    <w:rsid w:val="008D1F20"/>
    <w:rsid w:val="008D3A5C"/>
    <w:rsid w:val="008D3B31"/>
    <w:rsid w:val="008D624E"/>
    <w:rsid w:val="008D66AF"/>
    <w:rsid w:val="008D74E8"/>
    <w:rsid w:val="008E2D39"/>
    <w:rsid w:val="008E32A7"/>
    <w:rsid w:val="008E381A"/>
    <w:rsid w:val="008E3E11"/>
    <w:rsid w:val="008E59F8"/>
    <w:rsid w:val="008F0CE5"/>
    <w:rsid w:val="008F23C7"/>
    <w:rsid w:val="008F47A0"/>
    <w:rsid w:val="008F49DB"/>
    <w:rsid w:val="008F73DC"/>
    <w:rsid w:val="008F78DE"/>
    <w:rsid w:val="0090256D"/>
    <w:rsid w:val="00903324"/>
    <w:rsid w:val="00904B09"/>
    <w:rsid w:val="00906D57"/>
    <w:rsid w:val="0090781A"/>
    <w:rsid w:val="00915A09"/>
    <w:rsid w:val="00915BCD"/>
    <w:rsid w:val="00924CF6"/>
    <w:rsid w:val="00925585"/>
    <w:rsid w:val="00931A25"/>
    <w:rsid w:val="009335B2"/>
    <w:rsid w:val="00935684"/>
    <w:rsid w:val="00935E05"/>
    <w:rsid w:val="00941153"/>
    <w:rsid w:val="009413A0"/>
    <w:rsid w:val="00941B25"/>
    <w:rsid w:val="00946CD4"/>
    <w:rsid w:val="009478F0"/>
    <w:rsid w:val="0095024E"/>
    <w:rsid w:val="00951B9C"/>
    <w:rsid w:val="00953ACE"/>
    <w:rsid w:val="00956AFF"/>
    <w:rsid w:val="00960559"/>
    <w:rsid w:val="00965207"/>
    <w:rsid w:val="00966DCB"/>
    <w:rsid w:val="00967161"/>
    <w:rsid w:val="00967CD7"/>
    <w:rsid w:val="00967EB6"/>
    <w:rsid w:val="00970517"/>
    <w:rsid w:val="00971BE2"/>
    <w:rsid w:val="009742F0"/>
    <w:rsid w:val="009763D3"/>
    <w:rsid w:val="009774D6"/>
    <w:rsid w:val="0097771E"/>
    <w:rsid w:val="00982773"/>
    <w:rsid w:val="009860FF"/>
    <w:rsid w:val="009871AF"/>
    <w:rsid w:val="00990CAD"/>
    <w:rsid w:val="00990D2A"/>
    <w:rsid w:val="00991CB3"/>
    <w:rsid w:val="009943B2"/>
    <w:rsid w:val="009952F4"/>
    <w:rsid w:val="00995D07"/>
    <w:rsid w:val="0099719A"/>
    <w:rsid w:val="00997393"/>
    <w:rsid w:val="00997C06"/>
    <w:rsid w:val="009A0B8B"/>
    <w:rsid w:val="009A0BF3"/>
    <w:rsid w:val="009A2256"/>
    <w:rsid w:val="009A3DA2"/>
    <w:rsid w:val="009A5537"/>
    <w:rsid w:val="009A5639"/>
    <w:rsid w:val="009A5F3C"/>
    <w:rsid w:val="009B26DF"/>
    <w:rsid w:val="009B2C7D"/>
    <w:rsid w:val="009B2E9E"/>
    <w:rsid w:val="009B373A"/>
    <w:rsid w:val="009B4FB5"/>
    <w:rsid w:val="009B651C"/>
    <w:rsid w:val="009B6629"/>
    <w:rsid w:val="009B669C"/>
    <w:rsid w:val="009B6E21"/>
    <w:rsid w:val="009C0021"/>
    <w:rsid w:val="009C0339"/>
    <w:rsid w:val="009C0F95"/>
    <w:rsid w:val="009C1606"/>
    <w:rsid w:val="009C2EAE"/>
    <w:rsid w:val="009C49B2"/>
    <w:rsid w:val="009C7A77"/>
    <w:rsid w:val="009D1C4C"/>
    <w:rsid w:val="009D6218"/>
    <w:rsid w:val="009E1D5B"/>
    <w:rsid w:val="009E31FB"/>
    <w:rsid w:val="009E3281"/>
    <w:rsid w:val="009E483A"/>
    <w:rsid w:val="009F3BF2"/>
    <w:rsid w:val="009F410D"/>
    <w:rsid w:val="009F47DD"/>
    <w:rsid w:val="009F66C7"/>
    <w:rsid w:val="009F66DA"/>
    <w:rsid w:val="009F7B4D"/>
    <w:rsid w:val="009F7F87"/>
    <w:rsid w:val="00A00092"/>
    <w:rsid w:val="00A016A0"/>
    <w:rsid w:val="00A01ED2"/>
    <w:rsid w:val="00A02CD8"/>
    <w:rsid w:val="00A02E07"/>
    <w:rsid w:val="00A02F2F"/>
    <w:rsid w:val="00A075B1"/>
    <w:rsid w:val="00A12757"/>
    <w:rsid w:val="00A12A06"/>
    <w:rsid w:val="00A14B82"/>
    <w:rsid w:val="00A14CD0"/>
    <w:rsid w:val="00A16D95"/>
    <w:rsid w:val="00A17F9A"/>
    <w:rsid w:val="00A216EC"/>
    <w:rsid w:val="00A2483E"/>
    <w:rsid w:val="00A24E52"/>
    <w:rsid w:val="00A26983"/>
    <w:rsid w:val="00A26BBA"/>
    <w:rsid w:val="00A2790A"/>
    <w:rsid w:val="00A31234"/>
    <w:rsid w:val="00A33AF4"/>
    <w:rsid w:val="00A35979"/>
    <w:rsid w:val="00A35EB3"/>
    <w:rsid w:val="00A4063C"/>
    <w:rsid w:val="00A407FB"/>
    <w:rsid w:val="00A40859"/>
    <w:rsid w:val="00A444B1"/>
    <w:rsid w:val="00A46EF1"/>
    <w:rsid w:val="00A51524"/>
    <w:rsid w:val="00A51B6E"/>
    <w:rsid w:val="00A5341B"/>
    <w:rsid w:val="00A5425D"/>
    <w:rsid w:val="00A55B36"/>
    <w:rsid w:val="00A57EE4"/>
    <w:rsid w:val="00A607E7"/>
    <w:rsid w:val="00A60D6E"/>
    <w:rsid w:val="00A6241F"/>
    <w:rsid w:val="00A63012"/>
    <w:rsid w:val="00A633B3"/>
    <w:rsid w:val="00A65E45"/>
    <w:rsid w:val="00A66FFA"/>
    <w:rsid w:val="00A67DA8"/>
    <w:rsid w:val="00A716D7"/>
    <w:rsid w:val="00A71795"/>
    <w:rsid w:val="00A72500"/>
    <w:rsid w:val="00A7337C"/>
    <w:rsid w:val="00A74564"/>
    <w:rsid w:val="00A7512C"/>
    <w:rsid w:val="00A756B4"/>
    <w:rsid w:val="00A76515"/>
    <w:rsid w:val="00A770AC"/>
    <w:rsid w:val="00A778F4"/>
    <w:rsid w:val="00A8086B"/>
    <w:rsid w:val="00A80968"/>
    <w:rsid w:val="00A822D4"/>
    <w:rsid w:val="00A829AB"/>
    <w:rsid w:val="00A82D29"/>
    <w:rsid w:val="00A8432A"/>
    <w:rsid w:val="00A84B73"/>
    <w:rsid w:val="00A85971"/>
    <w:rsid w:val="00A859FA"/>
    <w:rsid w:val="00A86544"/>
    <w:rsid w:val="00A86D6F"/>
    <w:rsid w:val="00A90173"/>
    <w:rsid w:val="00A92B15"/>
    <w:rsid w:val="00A95F1D"/>
    <w:rsid w:val="00A96CC7"/>
    <w:rsid w:val="00A971BF"/>
    <w:rsid w:val="00AA13A9"/>
    <w:rsid w:val="00AA3783"/>
    <w:rsid w:val="00AA3ADA"/>
    <w:rsid w:val="00AA4075"/>
    <w:rsid w:val="00AA55C2"/>
    <w:rsid w:val="00AA69F9"/>
    <w:rsid w:val="00AB170F"/>
    <w:rsid w:val="00AB2399"/>
    <w:rsid w:val="00AB274A"/>
    <w:rsid w:val="00AB2C82"/>
    <w:rsid w:val="00AB4363"/>
    <w:rsid w:val="00AB508F"/>
    <w:rsid w:val="00AB6E44"/>
    <w:rsid w:val="00AC04C8"/>
    <w:rsid w:val="00AC1A5A"/>
    <w:rsid w:val="00AC49A8"/>
    <w:rsid w:val="00AC6238"/>
    <w:rsid w:val="00AD1DAD"/>
    <w:rsid w:val="00AD2F81"/>
    <w:rsid w:val="00AD32F5"/>
    <w:rsid w:val="00AD44EB"/>
    <w:rsid w:val="00AD48BF"/>
    <w:rsid w:val="00AD5BF1"/>
    <w:rsid w:val="00AD6B27"/>
    <w:rsid w:val="00AD73A4"/>
    <w:rsid w:val="00AD7A6D"/>
    <w:rsid w:val="00AD7B08"/>
    <w:rsid w:val="00AE0AC1"/>
    <w:rsid w:val="00AE1D27"/>
    <w:rsid w:val="00AE33F7"/>
    <w:rsid w:val="00AE59C2"/>
    <w:rsid w:val="00AF1D92"/>
    <w:rsid w:val="00AF2B19"/>
    <w:rsid w:val="00AF4246"/>
    <w:rsid w:val="00AF4D02"/>
    <w:rsid w:val="00AF5E08"/>
    <w:rsid w:val="00B02309"/>
    <w:rsid w:val="00B02B56"/>
    <w:rsid w:val="00B0617F"/>
    <w:rsid w:val="00B06F71"/>
    <w:rsid w:val="00B10C3E"/>
    <w:rsid w:val="00B131A0"/>
    <w:rsid w:val="00B14955"/>
    <w:rsid w:val="00B15360"/>
    <w:rsid w:val="00B210F2"/>
    <w:rsid w:val="00B22AEF"/>
    <w:rsid w:val="00B23FB7"/>
    <w:rsid w:val="00B243FB"/>
    <w:rsid w:val="00B24765"/>
    <w:rsid w:val="00B24EA4"/>
    <w:rsid w:val="00B25AFA"/>
    <w:rsid w:val="00B25DAA"/>
    <w:rsid w:val="00B26585"/>
    <w:rsid w:val="00B32874"/>
    <w:rsid w:val="00B337A4"/>
    <w:rsid w:val="00B33CFA"/>
    <w:rsid w:val="00B33FA5"/>
    <w:rsid w:val="00B35623"/>
    <w:rsid w:val="00B37A7B"/>
    <w:rsid w:val="00B40C43"/>
    <w:rsid w:val="00B42950"/>
    <w:rsid w:val="00B42E92"/>
    <w:rsid w:val="00B44145"/>
    <w:rsid w:val="00B442CC"/>
    <w:rsid w:val="00B53162"/>
    <w:rsid w:val="00B53743"/>
    <w:rsid w:val="00B53C9F"/>
    <w:rsid w:val="00B53CED"/>
    <w:rsid w:val="00B54D3E"/>
    <w:rsid w:val="00B56ACB"/>
    <w:rsid w:val="00B60027"/>
    <w:rsid w:val="00B6104B"/>
    <w:rsid w:val="00B62029"/>
    <w:rsid w:val="00B63825"/>
    <w:rsid w:val="00B64939"/>
    <w:rsid w:val="00B7032C"/>
    <w:rsid w:val="00B71732"/>
    <w:rsid w:val="00B71B32"/>
    <w:rsid w:val="00B72F59"/>
    <w:rsid w:val="00B75599"/>
    <w:rsid w:val="00B80E82"/>
    <w:rsid w:val="00B811F5"/>
    <w:rsid w:val="00B818D9"/>
    <w:rsid w:val="00B81CEA"/>
    <w:rsid w:val="00B82BE9"/>
    <w:rsid w:val="00B83709"/>
    <w:rsid w:val="00B83DB3"/>
    <w:rsid w:val="00B86692"/>
    <w:rsid w:val="00B875C6"/>
    <w:rsid w:val="00B90C2E"/>
    <w:rsid w:val="00B91567"/>
    <w:rsid w:val="00B919EB"/>
    <w:rsid w:val="00B9382E"/>
    <w:rsid w:val="00B93E21"/>
    <w:rsid w:val="00B93FD5"/>
    <w:rsid w:val="00B95213"/>
    <w:rsid w:val="00B959D7"/>
    <w:rsid w:val="00B962CE"/>
    <w:rsid w:val="00BA0588"/>
    <w:rsid w:val="00BA0C83"/>
    <w:rsid w:val="00BA2DD6"/>
    <w:rsid w:val="00BA3023"/>
    <w:rsid w:val="00BA304F"/>
    <w:rsid w:val="00BA32A3"/>
    <w:rsid w:val="00BA4029"/>
    <w:rsid w:val="00BA5404"/>
    <w:rsid w:val="00BA72B1"/>
    <w:rsid w:val="00BA74F9"/>
    <w:rsid w:val="00BB1255"/>
    <w:rsid w:val="00BB33A9"/>
    <w:rsid w:val="00BB3C38"/>
    <w:rsid w:val="00BB3F86"/>
    <w:rsid w:val="00BB5BE6"/>
    <w:rsid w:val="00BB70FB"/>
    <w:rsid w:val="00BC0024"/>
    <w:rsid w:val="00BC2DB5"/>
    <w:rsid w:val="00BC3E1C"/>
    <w:rsid w:val="00BC4568"/>
    <w:rsid w:val="00BC4604"/>
    <w:rsid w:val="00BC53DB"/>
    <w:rsid w:val="00BC7AD0"/>
    <w:rsid w:val="00BD14E7"/>
    <w:rsid w:val="00BD4599"/>
    <w:rsid w:val="00BD5E21"/>
    <w:rsid w:val="00BE0F43"/>
    <w:rsid w:val="00BE4354"/>
    <w:rsid w:val="00BE6C08"/>
    <w:rsid w:val="00BE712C"/>
    <w:rsid w:val="00BF2339"/>
    <w:rsid w:val="00BF38D1"/>
    <w:rsid w:val="00BF4035"/>
    <w:rsid w:val="00BF42A2"/>
    <w:rsid w:val="00BF5E43"/>
    <w:rsid w:val="00C00A77"/>
    <w:rsid w:val="00C051FB"/>
    <w:rsid w:val="00C063C4"/>
    <w:rsid w:val="00C06659"/>
    <w:rsid w:val="00C072C5"/>
    <w:rsid w:val="00C10DAD"/>
    <w:rsid w:val="00C12495"/>
    <w:rsid w:val="00C12848"/>
    <w:rsid w:val="00C13B71"/>
    <w:rsid w:val="00C15578"/>
    <w:rsid w:val="00C201C6"/>
    <w:rsid w:val="00C204B2"/>
    <w:rsid w:val="00C20E4E"/>
    <w:rsid w:val="00C21F4C"/>
    <w:rsid w:val="00C2563A"/>
    <w:rsid w:val="00C2796C"/>
    <w:rsid w:val="00C3174C"/>
    <w:rsid w:val="00C32197"/>
    <w:rsid w:val="00C35265"/>
    <w:rsid w:val="00C35D82"/>
    <w:rsid w:val="00C37246"/>
    <w:rsid w:val="00C43454"/>
    <w:rsid w:val="00C43BF1"/>
    <w:rsid w:val="00C444FC"/>
    <w:rsid w:val="00C469E4"/>
    <w:rsid w:val="00C47BFE"/>
    <w:rsid w:val="00C506BB"/>
    <w:rsid w:val="00C50804"/>
    <w:rsid w:val="00C50A33"/>
    <w:rsid w:val="00C50F27"/>
    <w:rsid w:val="00C51917"/>
    <w:rsid w:val="00C52098"/>
    <w:rsid w:val="00C5264C"/>
    <w:rsid w:val="00C53E01"/>
    <w:rsid w:val="00C5543D"/>
    <w:rsid w:val="00C562E9"/>
    <w:rsid w:val="00C56666"/>
    <w:rsid w:val="00C56C01"/>
    <w:rsid w:val="00C6064E"/>
    <w:rsid w:val="00C60740"/>
    <w:rsid w:val="00C610F5"/>
    <w:rsid w:val="00C6154D"/>
    <w:rsid w:val="00C640CE"/>
    <w:rsid w:val="00C65EA0"/>
    <w:rsid w:val="00C70425"/>
    <w:rsid w:val="00C70C37"/>
    <w:rsid w:val="00C70E19"/>
    <w:rsid w:val="00C72316"/>
    <w:rsid w:val="00C749D6"/>
    <w:rsid w:val="00C77ACB"/>
    <w:rsid w:val="00C80151"/>
    <w:rsid w:val="00C8370F"/>
    <w:rsid w:val="00C848A2"/>
    <w:rsid w:val="00C84CCB"/>
    <w:rsid w:val="00C87C1A"/>
    <w:rsid w:val="00C91396"/>
    <w:rsid w:val="00C91E90"/>
    <w:rsid w:val="00CA368B"/>
    <w:rsid w:val="00CA3AD3"/>
    <w:rsid w:val="00CA3B83"/>
    <w:rsid w:val="00CA3CC5"/>
    <w:rsid w:val="00CA6BD8"/>
    <w:rsid w:val="00CB26E6"/>
    <w:rsid w:val="00CB29D2"/>
    <w:rsid w:val="00CB36F4"/>
    <w:rsid w:val="00CB40DF"/>
    <w:rsid w:val="00CB5607"/>
    <w:rsid w:val="00CB5F9D"/>
    <w:rsid w:val="00CB6D5D"/>
    <w:rsid w:val="00CB70FC"/>
    <w:rsid w:val="00CB7735"/>
    <w:rsid w:val="00CC188B"/>
    <w:rsid w:val="00CC1CA0"/>
    <w:rsid w:val="00CC38CA"/>
    <w:rsid w:val="00CC6410"/>
    <w:rsid w:val="00CD0D3F"/>
    <w:rsid w:val="00CD198E"/>
    <w:rsid w:val="00CD1DD3"/>
    <w:rsid w:val="00CD48FB"/>
    <w:rsid w:val="00CD4CFE"/>
    <w:rsid w:val="00CD5041"/>
    <w:rsid w:val="00CE1BB0"/>
    <w:rsid w:val="00CE2859"/>
    <w:rsid w:val="00CE37E4"/>
    <w:rsid w:val="00CE437A"/>
    <w:rsid w:val="00CE4939"/>
    <w:rsid w:val="00CE5A49"/>
    <w:rsid w:val="00CE74D4"/>
    <w:rsid w:val="00CF1902"/>
    <w:rsid w:val="00CF226E"/>
    <w:rsid w:val="00CF22D7"/>
    <w:rsid w:val="00CF30B6"/>
    <w:rsid w:val="00CF3CDD"/>
    <w:rsid w:val="00D00674"/>
    <w:rsid w:val="00D00DD9"/>
    <w:rsid w:val="00D00EF2"/>
    <w:rsid w:val="00D0356E"/>
    <w:rsid w:val="00D03FBC"/>
    <w:rsid w:val="00D05759"/>
    <w:rsid w:val="00D05EF3"/>
    <w:rsid w:val="00D11EC8"/>
    <w:rsid w:val="00D13A0C"/>
    <w:rsid w:val="00D13B03"/>
    <w:rsid w:val="00D15DFC"/>
    <w:rsid w:val="00D17C1F"/>
    <w:rsid w:val="00D207F5"/>
    <w:rsid w:val="00D22A65"/>
    <w:rsid w:val="00D24C7E"/>
    <w:rsid w:val="00D25039"/>
    <w:rsid w:val="00D26C66"/>
    <w:rsid w:val="00D27920"/>
    <w:rsid w:val="00D30191"/>
    <w:rsid w:val="00D30592"/>
    <w:rsid w:val="00D3074C"/>
    <w:rsid w:val="00D35717"/>
    <w:rsid w:val="00D36470"/>
    <w:rsid w:val="00D42A8F"/>
    <w:rsid w:val="00D435B6"/>
    <w:rsid w:val="00D45CA8"/>
    <w:rsid w:val="00D46A6C"/>
    <w:rsid w:val="00D46E9B"/>
    <w:rsid w:val="00D54FF9"/>
    <w:rsid w:val="00D57114"/>
    <w:rsid w:val="00D626EA"/>
    <w:rsid w:val="00D6422E"/>
    <w:rsid w:val="00D66EED"/>
    <w:rsid w:val="00D70096"/>
    <w:rsid w:val="00D70429"/>
    <w:rsid w:val="00D70AFC"/>
    <w:rsid w:val="00D7471A"/>
    <w:rsid w:val="00D7732D"/>
    <w:rsid w:val="00D8211B"/>
    <w:rsid w:val="00D84669"/>
    <w:rsid w:val="00D84B42"/>
    <w:rsid w:val="00D8571D"/>
    <w:rsid w:val="00D85CC0"/>
    <w:rsid w:val="00D85F61"/>
    <w:rsid w:val="00D86CBD"/>
    <w:rsid w:val="00D905C3"/>
    <w:rsid w:val="00D918A6"/>
    <w:rsid w:val="00D91B65"/>
    <w:rsid w:val="00D95C23"/>
    <w:rsid w:val="00D978A7"/>
    <w:rsid w:val="00DA084F"/>
    <w:rsid w:val="00DA2B71"/>
    <w:rsid w:val="00DA2D68"/>
    <w:rsid w:val="00DA574B"/>
    <w:rsid w:val="00DA6942"/>
    <w:rsid w:val="00DA7244"/>
    <w:rsid w:val="00DB00DB"/>
    <w:rsid w:val="00DB05A9"/>
    <w:rsid w:val="00DB0BB6"/>
    <w:rsid w:val="00DB10FD"/>
    <w:rsid w:val="00DB2B8F"/>
    <w:rsid w:val="00DB3D40"/>
    <w:rsid w:val="00DB62A7"/>
    <w:rsid w:val="00DB7423"/>
    <w:rsid w:val="00DB78C4"/>
    <w:rsid w:val="00DC013A"/>
    <w:rsid w:val="00DC0382"/>
    <w:rsid w:val="00DC0E80"/>
    <w:rsid w:val="00DC1253"/>
    <w:rsid w:val="00DC15E2"/>
    <w:rsid w:val="00DC1CD5"/>
    <w:rsid w:val="00DC1DF7"/>
    <w:rsid w:val="00DC4728"/>
    <w:rsid w:val="00DC589D"/>
    <w:rsid w:val="00DD2111"/>
    <w:rsid w:val="00DD3E52"/>
    <w:rsid w:val="00DD4E3D"/>
    <w:rsid w:val="00DD617A"/>
    <w:rsid w:val="00DD67DF"/>
    <w:rsid w:val="00DD742F"/>
    <w:rsid w:val="00DE235B"/>
    <w:rsid w:val="00DE2CAA"/>
    <w:rsid w:val="00DE4080"/>
    <w:rsid w:val="00DE5964"/>
    <w:rsid w:val="00DE6DA3"/>
    <w:rsid w:val="00DE74DA"/>
    <w:rsid w:val="00DE7501"/>
    <w:rsid w:val="00DE7535"/>
    <w:rsid w:val="00DE7F2C"/>
    <w:rsid w:val="00DF21A8"/>
    <w:rsid w:val="00DF235D"/>
    <w:rsid w:val="00DF2FE3"/>
    <w:rsid w:val="00DF54EA"/>
    <w:rsid w:val="00E003AA"/>
    <w:rsid w:val="00E0382D"/>
    <w:rsid w:val="00E0641E"/>
    <w:rsid w:val="00E0702E"/>
    <w:rsid w:val="00E07069"/>
    <w:rsid w:val="00E07898"/>
    <w:rsid w:val="00E11475"/>
    <w:rsid w:val="00E16412"/>
    <w:rsid w:val="00E16620"/>
    <w:rsid w:val="00E1672E"/>
    <w:rsid w:val="00E21804"/>
    <w:rsid w:val="00E22F09"/>
    <w:rsid w:val="00E23A2B"/>
    <w:rsid w:val="00E2486F"/>
    <w:rsid w:val="00E249E8"/>
    <w:rsid w:val="00E254E5"/>
    <w:rsid w:val="00E259F8"/>
    <w:rsid w:val="00E313C9"/>
    <w:rsid w:val="00E31D02"/>
    <w:rsid w:val="00E32AF5"/>
    <w:rsid w:val="00E33504"/>
    <w:rsid w:val="00E364D7"/>
    <w:rsid w:val="00E3656C"/>
    <w:rsid w:val="00E42421"/>
    <w:rsid w:val="00E439A4"/>
    <w:rsid w:val="00E44402"/>
    <w:rsid w:val="00E4531B"/>
    <w:rsid w:val="00E46EB8"/>
    <w:rsid w:val="00E47269"/>
    <w:rsid w:val="00E4773D"/>
    <w:rsid w:val="00E47909"/>
    <w:rsid w:val="00E50F3C"/>
    <w:rsid w:val="00E527A3"/>
    <w:rsid w:val="00E53122"/>
    <w:rsid w:val="00E55ACD"/>
    <w:rsid w:val="00E564B0"/>
    <w:rsid w:val="00E5776F"/>
    <w:rsid w:val="00E622C9"/>
    <w:rsid w:val="00E631C5"/>
    <w:rsid w:val="00E63DF1"/>
    <w:rsid w:val="00E64B10"/>
    <w:rsid w:val="00E671F5"/>
    <w:rsid w:val="00E67EBC"/>
    <w:rsid w:val="00E70DB4"/>
    <w:rsid w:val="00E70F06"/>
    <w:rsid w:val="00E71DB8"/>
    <w:rsid w:val="00E72602"/>
    <w:rsid w:val="00E73633"/>
    <w:rsid w:val="00E74022"/>
    <w:rsid w:val="00E7620F"/>
    <w:rsid w:val="00E81653"/>
    <w:rsid w:val="00E828BA"/>
    <w:rsid w:val="00E832D0"/>
    <w:rsid w:val="00E86A40"/>
    <w:rsid w:val="00E86DA3"/>
    <w:rsid w:val="00E87287"/>
    <w:rsid w:val="00E929B2"/>
    <w:rsid w:val="00E929CD"/>
    <w:rsid w:val="00E9577E"/>
    <w:rsid w:val="00E95F30"/>
    <w:rsid w:val="00EA1769"/>
    <w:rsid w:val="00EA303B"/>
    <w:rsid w:val="00EA3455"/>
    <w:rsid w:val="00EA4106"/>
    <w:rsid w:val="00EA4D90"/>
    <w:rsid w:val="00EA5781"/>
    <w:rsid w:val="00EA68FA"/>
    <w:rsid w:val="00EA6C84"/>
    <w:rsid w:val="00EA6CEE"/>
    <w:rsid w:val="00EB3ED5"/>
    <w:rsid w:val="00EB590B"/>
    <w:rsid w:val="00EB6C84"/>
    <w:rsid w:val="00EC0F32"/>
    <w:rsid w:val="00EC3266"/>
    <w:rsid w:val="00EC41E5"/>
    <w:rsid w:val="00EC6864"/>
    <w:rsid w:val="00ED09D8"/>
    <w:rsid w:val="00ED0B58"/>
    <w:rsid w:val="00ED1A6E"/>
    <w:rsid w:val="00ED2EAE"/>
    <w:rsid w:val="00ED6929"/>
    <w:rsid w:val="00ED6D9D"/>
    <w:rsid w:val="00ED705F"/>
    <w:rsid w:val="00EE060E"/>
    <w:rsid w:val="00EE2545"/>
    <w:rsid w:val="00EE3E1E"/>
    <w:rsid w:val="00EE4674"/>
    <w:rsid w:val="00EE6A1A"/>
    <w:rsid w:val="00EE6B42"/>
    <w:rsid w:val="00EE6CCD"/>
    <w:rsid w:val="00EE7AF7"/>
    <w:rsid w:val="00EF2897"/>
    <w:rsid w:val="00EF349D"/>
    <w:rsid w:val="00EF418B"/>
    <w:rsid w:val="00EF57B9"/>
    <w:rsid w:val="00F00D02"/>
    <w:rsid w:val="00F0123A"/>
    <w:rsid w:val="00F04B79"/>
    <w:rsid w:val="00F05F4D"/>
    <w:rsid w:val="00F05FBF"/>
    <w:rsid w:val="00F07162"/>
    <w:rsid w:val="00F10225"/>
    <w:rsid w:val="00F1115F"/>
    <w:rsid w:val="00F11421"/>
    <w:rsid w:val="00F1228B"/>
    <w:rsid w:val="00F1254C"/>
    <w:rsid w:val="00F12FBF"/>
    <w:rsid w:val="00F13DA9"/>
    <w:rsid w:val="00F13FF8"/>
    <w:rsid w:val="00F14739"/>
    <w:rsid w:val="00F14850"/>
    <w:rsid w:val="00F14FC2"/>
    <w:rsid w:val="00F16B5F"/>
    <w:rsid w:val="00F176B4"/>
    <w:rsid w:val="00F17E44"/>
    <w:rsid w:val="00F2060C"/>
    <w:rsid w:val="00F20E2A"/>
    <w:rsid w:val="00F21492"/>
    <w:rsid w:val="00F24944"/>
    <w:rsid w:val="00F302F5"/>
    <w:rsid w:val="00F31898"/>
    <w:rsid w:val="00F33B7F"/>
    <w:rsid w:val="00F3506C"/>
    <w:rsid w:val="00F35D2E"/>
    <w:rsid w:val="00F36608"/>
    <w:rsid w:val="00F415E5"/>
    <w:rsid w:val="00F425FC"/>
    <w:rsid w:val="00F43E66"/>
    <w:rsid w:val="00F479B9"/>
    <w:rsid w:val="00F47C08"/>
    <w:rsid w:val="00F511B6"/>
    <w:rsid w:val="00F51A62"/>
    <w:rsid w:val="00F52572"/>
    <w:rsid w:val="00F54C2B"/>
    <w:rsid w:val="00F55E74"/>
    <w:rsid w:val="00F560E4"/>
    <w:rsid w:val="00F603D7"/>
    <w:rsid w:val="00F60707"/>
    <w:rsid w:val="00F635C1"/>
    <w:rsid w:val="00F643B3"/>
    <w:rsid w:val="00F661B7"/>
    <w:rsid w:val="00F675F6"/>
    <w:rsid w:val="00F67959"/>
    <w:rsid w:val="00F67D42"/>
    <w:rsid w:val="00F70B5F"/>
    <w:rsid w:val="00F71370"/>
    <w:rsid w:val="00F71910"/>
    <w:rsid w:val="00F74F9F"/>
    <w:rsid w:val="00F771D2"/>
    <w:rsid w:val="00F777D3"/>
    <w:rsid w:val="00F779B8"/>
    <w:rsid w:val="00F77DB1"/>
    <w:rsid w:val="00F83125"/>
    <w:rsid w:val="00F91FFE"/>
    <w:rsid w:val="00F93197"/>
    <w:rsid w:val="00F9488E"/>
    <w:rsid w:val="00F94A52"/>
    <w:rsid w:val="00F96ED8"/>
    <w:rsid w:val="00F9763E"/>
    <w:rsid w:val="00FA08AA"/>
    <w:rsid w:val="00FA1031"/>
    <w:rsid w:val="00FA11EC"/>
    <w:rsid w:val="00FA1402"/>
    <w:rsid w:val="00FA1463"/>
    <w:rsid w:val="00FA3343"/>
    <w:rsid w:val="00FA390F"/>
    <w:rsid w:val="00FA4687"/>
    <w:rsid w:val="00FA4B27"/>
    <w:rsid w:val="00FA5A6C"/>
    <w:rsid w:val="00FA5F93"/>
    <w:rsid w:val="00FB343A"/>
    <w:rsid w:val="00FB48AF"/>
    <w:rsid w:val="00FB7741"/>
    <w:rsid w:val="00FC1261"/>
    <w:rsid w:val="00FC2E03"/>
    <w:rsid w:val="00FC54C1"/>
    <w:rsid w:val="00FC5ED8"/>
    <w:rsid w:val="00FC6BCF"/>
    <w:rsid w:val="00FC6BE7"/>
    <w:rsid w:val="00FD3B84"/>
    <w:rsid w:val="00FD4377"/>
    <w:rsid w:val="00FD4EA0"/>
    <w:rsid w:val="00FD4ECF"/>
    <w:rsid w:val="00FD56A7"/>
    <w:rsid w:val="00FD5E23"/>
    <w:rsid w:val="00FD6A7F"/>
    <w:rsid w:val="00FE01A2"/>
    <w:rsid w:val="00FE2322"/>
    <w:rsid w:val="00FE448A"/>
    <w:rsid w:val="00FE4C20"/>
    <w:rsid w:val="00FE6986"/>
    <w:rsid w:val="00FE6B52"/>
    <w:rsid w:val="00FE6D94"/>
    <w:rsid w:val="00FE7BE7"/>
    <w:rsid w:val="00FF153B"/>
    <w:rsid w:val="00FF2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9362"/>
  <w15:chartTrackingRefBased/>
  <w15:docId w15:val="{07BCD5E6-8C24-4610-8694-35E94D12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27"/>
    <w:pPr>
      <w:spacing w:after="200" w:line="276" w:lineRule="auto"/>
    </w:pPr>
  </w:style>
  <w:style w:type="paragraph" w:styleId="Heading9">
    <w:name w:val="heading 9"/>
    <w:basedOn w:val="Normal"/>
    <w:next w:val="Normal"/>
    <w:link w:val="Heading9Char"/>
    <w:uiPriority w:val="99"/>
    <w:qFormat/>
    <w:rsid w:val="00B60027"/>
    <w:pPr>
      <w:keepNext/>
      <w:spacing w:after="0" w:line="240" w:lineRule="auto"/>
      <w:outlineLvl w:val="8"/>
    </w:pPr>
    <w:rPr>
      <w:rFonts w:ascii="Times New Roman" w:eastAsia="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B60027"/>
    <w:rPr>
      <w:rFonts w:ascii="Times New Roman" w:eastAsia="Times New Roman" w:hAnsi="Times New Roman" w:cs="Times New Roman"/>
      <w:b/>
      <w:bCs/>
      <w:i/>
      <w:iCs/>
      <w:sz w:val="20"/>
      <w:szCs w:val="20"/>
    </w:rPr>
  </w:style>
  <w:style w:type="paragraph" w:styleId="BodyText">
    <w:name w:val="Body Text"/>
    <w:basedOn w:val="Normal"/>
    <w:link w:val="BodyTextChar"/>
    <w:uiPriority w:val="99"/>
    <w:rsid w:val="00B60027"/>
    <w:pPr>
      <w:tabs>
        <w:tab w:val="left" w:pos="227"/>
      </w:tabs>
      <w:suppressAutoHyphens/>
      <w:autoSpaceDE w:val="0"/>
      <w:autoSpaceDN w:val="0"/>
      <w:adjustRightInd w:val="0"/>
      <w:spacing w:before="40" w:after="40" w:line="200" w:lineRule="atLeast"/>
      <w:textAlignment w:val="center"/>
    </w:pPr>
    <w:rPr>
      <w:rFonts w:ascii="Arial" w:hAnsi="Arial" w:cs="Arial"/>
      <w:color w:val="000000"/>
      <w:sz w:val="18"/>
      <w:szCs w:val="18"/>
    </w:rPr>
  </w:style>
  <w:style w:type="character" w:customStyle="1" w:styleId="BodyTextChar">
    <w:name w:val="Body Text Char"/>
    <w:basedOn w:val="DefaultParagraphFont"/>
    <w:link w:val="BodyText"/>
    <w:uiPriority w:val="99"/>
    <w:rsid w:val="00B60027"/>
    <w:rPr>
      <w:rFonts w:ascii="Arial" w:hAnsi="Arial" w:cs="Arial"/>
      <w:color w:val="000000"/>
      <w:sz w:val="18"/>
      <w:szCs w:val="18"/>
    </w:rPr>
  </w:style>
  <w:style w:type="paragraph" w:styleId="NormalWeb">
    <w:name w:val="Normal (Web)"/>
    <w:basedOn w:val="Normal"/>
    <w:uiPriority w:val="99"/>
    <w:rsid w:val="00B600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x">
    <w:name w:val="bx"/>
    <w:basedOn w:val="Normal"/>
    <w:rsid w:val="00B600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
    <w:name w:val="by"/>
    <w:basedOn w:val="DefaultParagraphFont"/>
    <w:rsid w:val="00B60027"/>
  </w:style>
  <w:style w:type="character" w:customStyle="1" w:styleId="bz">
    <w:name w:val="bz"/>
    <w:basedOn w:val="DefaultParagraphFont"/>
    <w:rsid w:val="00B60027"/>
  </w:style>
  <w:style w:type="character" w:styleId="Hyperlink">
    <w:name w:val="Hyperlink"/>
    <w:basedOn w:val="DefaultParagraphFont"/>
    <w:uiPriority w:val="99"/>
    <w:semiHidden/>
    <w:unhideWhenUsed/>
    <w:rsid w:val="00B60027"/>
    <w:rPr>
      <w:color w:val="0000FF"/>
      <w:u w:val="single"/>
    </w:rPr>
  </w:style>
  <w:style w:type="character" w:customStyle="1" w:styleId="cb">
    <w:name w:val="cb"/>
    <w:basedOn w:val="DefaultParagraphFont"/>
    <w:rsid w:val="00B60027"/>
  </w:style>
  <w:style w:type="character" w:customStyle="1" w:styleId="cd">
    <w:name w:val="cd"/>
    <w:basedOn w:val="DefaultParagraphFont"/>
    <w:rsid w:val="00B60027"/>
  </w:style>
  <w:style w:type="table" w:styleId="TableGrid">
    <w:name w:val="Table Grid"/>
    <w:basedOn w:val="TableNormal"/>
    <w:uiPriority w:val="59"/>
    <w:rsid w:val="00B60027"/>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027"/>
    <w:pPr>
      <w:ind w:left="720"/>
      <w:contextualSpacing/>
    </w:pPr>
  </w:style>
  <w:style w:type="paragraph" w:customStyle="1" w:styleId="Subhead1">
    <w:name w:val="Subhead 1"/>
    <w:basedOn w:val="Normal"/>
    <w:uiPriority w:val="99"/>
    <w:rsid w:val="00F415E5"/>
    <w:pPr>
      <w:keepNext/>
      <w:suppressAutoHyphens/>
      <w:autoSpaceDE w:val="0"/>
      <w:autoSpaceDN w:val="0"/>
      <w:adjustRightInd w:val="0"/>
      <w:spacing w:before="40" w:after="40" w:line="200" w:lineRule="atLeast"/>
      <w:textAlignment w:val="center"/>
    </w:pPr>
    <w:rPr>
      <w:rFonts w:ascii="Arial" w:hAnsi="Arial" w:cs="Arial"/>
      <w:b/>
      <w:bCs/>
      <w:color w:val="000000"/>
      <w:sz w:val="18"/>
      <w:szCs w:val="18"/>
    </w:rPr>
  </w:style>
  <w:style w:type="paragraph" w:customStyle="1" w:styleId="Figs">
    <w:name w:val="Figs"/>
    <w:basedOn w:val="Normal"/>
    <w:uiPriority w:val="99"/>
    <w:rsid w:val="00F415E5"/>
    <w:pPr>
      <w:tabs>
        <w:tab w:val="left" w:pos="227"/>
      </w:tabs>
      <w:suppressAutoHyphens/>
      <w:autoSpaceDE w:val="0"/>
      <w:autoSpaceDN w:val="0"/>
      <w:adjustRightInd w:val="0"/>
      <w:spacing w:after="0" w:line="200" w:lineRule="atLeast"/>
      <w:textAlignment w:val="center"/>
    </w:pPr>
    <w:rPr>
      <w:rFonts w:ascii="Arial" w:hAnsi="Arial" w:cs="Arial"/>
      <w:color w:val="000000"/>
      <w:sz w:val="18"/>
      <w:szCs w:val="18"/>
    </w:rPr>
  </w:style>
  <w:style w:type="paragraph" w:customStyle="1" w:styleId="Fighd">
    <w:name w:val="Fighd"/>
    <w:basedOn w:val="Normal"/>
    <w:uiPriority w:val="99"/>
    <w:rsid w:val="00F415E5"/>
    <w:pPr>
      <w:tabs>
        <w:tab w:val="left" w:pos="227"/>
      </w:tabs>
      <w:suppressAutoHyphens/>
      <w:autoSpaceDE w:val="0"/>
      <w:autoSpaceDN w:val="0"/>
      <w:adjustRightInd w:val="0"/>
      <w:spacing w:after="0" w:line="160" w:lineRule="atLeast"/>
      <w:textAlignment w:val="center"/>
    </w:pPr>
    <w:rPr>
      <w:rFonts w:ascii="Arial" w:hAnsi="Arial" w:cs="Arial"/>
      <w:color w:val="000000"/>
      <w:sz w:val="14"/>
      <w:szCs w:val="14"/>
    </w:rPr>
  </w:style>
  <w:style w:type="character" w:customStyle="1" w:styleId="FigsTextFigsFigshdbold">
    <w:name w:val="Figs Text/Figs/Figshd bold"/>
    <w:uiPriority w:val="99"/>
    <w:rsid w:val="00F415E5"/>
    <w:rPr>
      <w:rFonts w:ascii="Arial" w:hAnsi="Arial" w:cs="Arial"/>
      <w:b/>
      <w:bCs/>
      <w:color w:val="000000"/>
    </w:rPr>
  </w:style>
  <w:style w:type="paragraph" w:customStyle="1" w:styleId="PageHeader">
    <w:name w:val="Page Header"/>
    <w:basedOn w:val="Normal"/>
    <w:uiPriority w:val="99"/>
    <w:rsid w:val="00F415E5"/>
    <w:pPr>
      <w:suppressAutoHyphens/>
      <w:autoSpaceDE w:val="0"/>
      <w:autoSpaceDN w:val="0"/>
      <w:adjustRightInd w:val="0"/>
      <w:spacing w:after="0" w:line="360" w:lineRule="atLeast"/>
      <w:textAlignment w:val="center"/>
    </w:pPr>
    <w:rPr>
      <w:rFonts w:ascii="Arial" w:hAnsi="Arial" w:cs="Arial"/>
      <w:color w:val="000000"/>
      <w:sz w:val="32"/>
      <w:szCs w:val="32"/>
    </w:rPr>
  </w:style>
  <w:style w:type="paragraph" w:styleId="Footer">
    <w:name w:val="footer"/>
    <w:basedOn w:val="Normal"/>
    <w:link w:val="FooterChar"/>
    <w:uiPriority w:val="99"/>
    <w:unhideWhenUsed/>
    <w:rsid w:val="00F41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E5"/>
  </w:style>
  <w:style w:type="paragraph" w:customStyle="1" w:styleId="Tindent">
    <w:name w:val="Tindent"/>
    <w:basedOn w:val="Normal"/>
    <w:rsid w:val="00F415E5"/>
    <w:pPr>
      <w:tabs>
        <w:tab w:val="left" w:pos="851"/>
      </w:tabs>
      <w:spacing w:after="0" w:line="240" w:lineRule="auto"/>
      <w:ind w:left="709" w:hanging="142"/>
    </w:pPr>
    <w:rPr>
      <w:rFonts w:ascii="Times New Roman" w:eastAsia="Times New Roman" w:hAnsi="Times New Roman" w:cs="Times New Roman"/>
      <w:sz w:val="20"/>
      <w:szCs w:val="20"/>
      <w:lang w:eastAsia="en-GB"/>
    </w:rPr>
  </w:style>
  <w:style w:type="paragraph" w:customStyle="1" w:styleId="br">
    <w:name w:val="br"/>
    <w:basedOn w:val="Normal"/>
    <w:rsid w:val="00C124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
    <w:name w:val="au"/>
    <w:basedOn w:val="DefaultParagraphFont"/>
    <w:rsid w:val="00C12495"/>
  </w:style>
  <w:style w:type="character" w:customStyle="1" w:styleId="am">
    <w:name w:val="am"/>
    <w:basedOn w:val="DefaultParagraphFont"/>
    <w:rsid w:val="00C12495"/>
  </w:style>
  <w:style w:type="character" w:customStyle="1" w:styleId="bj">
    <w:name w:val="bj"/>
    <w:basedOn w:val="DefaultParagraphFont"/>
    <w:rsid w:val="00C12495"/>
  </w:style>
  <w:style w:type="character" w:customStyle="1" w:styleId="al">
    <w:name w:val="al"/>
    <w:basedOn w:val="DefaultParagraphFont"/>
    <w:rsid w:val="00C12495"/>
  </w:style>
  <w:style w:type="paragraph" w:styleId="Header">
    <w:name w:val="header"/>
    <w:basedOn w:val="Normal"/>
    <w:link w:val="HeaderChar"/>
    <w:uiPriority w:val="99"/>
    <w:unhideWhenUsed/>
    <w:rsid w:val="00001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6EB"/>
  </w:style>
  <w:style w:type="paragraph" w:styleId="BalloonText">
    <w:name w:val="Balloon Text"/>
    <w:basedOn w:val="Normal"/>
    <w:link w:val="BalloonTextChar"/>
    <w:uiPriority w:val="99"/>
    <w:semiHidden/>
    <w:unhideWhenUsed/>
    <w:rsid w:val="004D4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55D"/>
    <w:rPr>
      <w:rFonts w:ascii="Segoe UI" w:hAnsi="Segoe UI" w:cs="Segoe UI"/>
      <w:sz w:val="18"/>
      <w:szCs w:val="18"/>
    </w:rPr>
  </w:style>
  <w:style w:type="character" w:styleId="CommentReference">
    <w:name w:val="annotation reference"/>
    <w:basedOn w:val="DefaultParagraphFont"/>
    <w:uiPriority w:val="99"/>
    <w:semiHidden/>
    <w:unhideWhenUsed/>
    <w:rsid w:val="002C7E5C"/>
    <w:rPr>
      <w:sz w:val="16"/>
      <w:szCs w:val="16"/>
    </w:rPr>
  </w:style>
  <w:style w:type="paragraph" w:styleId="CommentText">
    <w:name w:val="annotation text"/>
    <w:basedOn w:val="Normal"/>
    <w:link w:val="CommentTextChar"/>
    <w:uiPriority w:val="99"/>
    <w:semiHidden/>
    <w:unhideWhenUsed/>
    <w:rsid w:val="002C7E5C"/>
    <w:pPr>
      <w:spacing w:line="240" w:lineRule="auto"/>
    </w:pPr>
    <w:rPr>
      <w:sz w:val="20"/>
      <w:szCs w:val="20"/>
    </w:rPr>
  </w:style>
  <w:style w:type="character" w:customStyle="1" w:styleId="CommentTextChar">
    <w:name w:val="Comment Text Char"/>
    <w:basedOn w:val="DefaultParagraphFont"/>
    <w:link w:val="CommentText"/>
    <w:uiPriority w:val="99"/>
    <w:semiHidden/>
    <w:rsid w:val="002C7E5C"/>
    <w:rPr>
      <w:sz w:val="20"/>
      <w:szCs w:val="20"/>
    </w:rPr>
  </w:style>
  <w:style w:type="paragraph" w:styleId="CommentSubject">
    <w:name w:val="annotation subject"/>
    <w:basedOn w:val="CommentText"/>
    <w:next w:val="CommentText"/>
    <w:link w:val="CommentSubjectChar"/>
    <w:uiPriority w:val="99"/>
    <w:semiHidden/>
    <w:unhideWhenUsed/>
    <w:rsid w:val="002C7E5C"/>
    <w:rPr>
      <w:b/>
      <w:bCs/>
    </w:rPr>
  </w:style>
  <w:style w:type="character" w:customStyle="1" w:styleId="CommentSubjectChar">
    <w:name w:val="Comment Subject Char"/>
    <w:basedOn w:val="CommentTextChar"/>
    <w:link w:val="CommentSubject"/>
    <w:uiPriority w:val="99"/>
    <w:semiHidden/>
    <w:rsid w:val="002C7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Sarah Atwell-King</cp:lastModifiedBy>
  <cp:revision>16</cp:revision>
  <cp:lastPrinted>2022-04-18T09:36:00Z</cp:lastPrinted>
  <dcterms:created xsi:type="dcterms:W3CDTF">2022-03-18T11:33:00Z</dcterms:created>
  <dcterms:modified xsi:type="dcterms:W3CDTF">2022-04-26T07:25:00Z</dcterms:modified>
</cp:coreProperties>
</file>